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桐庐农商银行丰收信福封闭净值型2023年第1期理财产品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2023年第2季度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自2023-04-01起至2023-06-30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桐庐农商银行丰收信福封闭净值型2023年第1期理财产品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C1123123000001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公募封闭式净值型银行理财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2023-03-30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2024-06-07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17,600,000.00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[3.3%-3.7%]/年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2023-04-01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2023-06-30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t>0.69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</w:pPr>
            <w:r>
              <w:rPr>
                <w:rFonts w:hint="eastAsia"/>
              </w:rPr>
              <w:t>0.69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2023-04-01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2023-06-30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-659.88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120,780.12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17,720,772.89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</w:pPr>
            <w:r>
              <w:t>1.00686209</w:t>
            </w:r>
          </w:p>
        </w:tc>
      </w:tr>
    </w:tbl>
    <w:p>
      <w:pPr>
        <w:tabs>
          <w:tab w:val="left" w:pos="3135"/>
        </w:tabs>
        <w:ind w:left="420" w:leftChars="200"/>
      </w:pPr>
    </w:p>
    <w:p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17,617,935.06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17,617,935.06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99.42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</w:p>
        </w:tc>
        <w:tc>
          <w:tcPr>
            <w:tcW w:w="1653" w:type="dxa"/>
            <w:vAlign w:val="center"/>
          </w:tcPr>
          <w:p>
            <w:pPr>
              <w:jc w:val="right"/>
            </w:pPr>
          </w:p>
        </w:tc>
        <w:tc>
          <w:tcPr>
            <w:tcW w:w="1705" w:type="dxa"/>
            <w:vAlign w:val="center"/>
          </w:tcPr>
          <w:p>
            <w:pPr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113,672.66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17,721,440.00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</w:pPr>
            <w: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</w:pPr>
            <w:r>
              <w:t>17,721,440.00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>
            <w:pPr>
              <w:jc w:val="right"/>
            </w:pPr>
            <w:r>
              <w:t>17,731,607.72</w:t>
            </w:r>
          </w:p>
        </w:tc>
        <w:tc>
          <w:tcPr>
            <w:tcW w:w="1705" w:type="dxa"/>
          </w:tcPr>
          <w:p>
            <w:pPr>
              <w:jc w:val="right"/>
            </w:pPr>
            <w:r>
              <w:t>100.06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firstLine="420" w:firstLineChars="200"/>
        <w:jc w:val="left"/>
        <w:rPr>
          <w:rFonts w:hint="eastAsia"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  <w:r>
        <w:rPr>
          <w:rFonts w:hint="eastAsia" w:asciiTheme="minorEastAsia" w:hAnsiTheme="minorEastAsia" w:eastAsiaTheme="minorEastAsia"/>
          <w:szCs w:val="21"/>
          <w:lang w:val="en-US" w:eastAsia="zh-CN"/>
        </w:rPr>
        <w:t>本报告期末杠杆率为100.06%，报告期末杠杆率控制符合《产品合同》的约定。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Theme="minorEastAsia" w:hAnsiTheme="minorEastAsia" w:eastAsiaTheme="minorEastAsia"/>
          <w:szCs w:val="21"/>
        </w:rPr>
        <w:t>报告期内管理人合理安排资产结构，严格按照产品说明书约定的投资范围、比例等要求进行投资管理，流动性风险可控。</w:t>
      </w: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中信证券丰收信丰8号集合资产管理计划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</w:pPr>
            <w:r>
              <w:t>17,721,440.00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</w:pPr>
            <w:bookmarkStart w:id="3" w:name="OLE_LINK6"/>
            <w:bookmarkStart w:id="4" w:name="OLE_LINK5"/>
            <w:r>
              <w:t>100.00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占产品资产净值比例（%）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23渝合D1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1,761,097.27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21沧港01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1,757,482.69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20海诺01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1,715,580.85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9.68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21青控01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1,698,533.96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23高新D1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1,687,112.80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9.52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20金坛06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1,678,964.71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9.47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G20嵊交1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1,668,643.25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9.42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21新高01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1,640,884.03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9.26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23长交F3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1,638,565.87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9.25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rPr>
                <w:sz w:val="20"/>
              </w:rPr>
            </w:pPr>
            <w:r>
              <w:rPr>
                <w:szCs w:val="21"/>
              </w:rPr>
              <w:t>21市北01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1,634,748.56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jc w:val="right"/>
              <w:rPr>
                <w:rFonts w:eastAsia="Times New Roman"/>
                <w:sz w:val="20"/>
              </w:rPr>
            </w:pPr>
            <w:r>
              <w:t>9.23</w:t>
            </w:r>
          </w:p>
        </w:tc>
      </w:tr>
    </w:tbl>
    <w:p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2023-07-15</w:t>
      </w:r>
      <w:r>
        <w:rPr>
          <w:rFonts w:hint="eastAsia" w:ascii="宋体" w:hAnsi="宋体"/>
          <w:sz w:val="28"/>
          <w:szCs w:val="28"/>
        </w:rPr>
        <w:t xml:space="preserve">  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301802F9"/>
    <w:rsid w:val="7CD612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pPr>
      <w:shd w:val="clear" w:color="auto" w:fill="000080"/>
    </w:pPr>
  </w:style>
  <w:style w:type="paragraph" w:styleId="7">
    <w:name w:val="annotation text"/>
    <w:basedOn w:val="1"/>
    <w:uiPriority w:val="0"/>
    <w:pPr>
      <w:jc w:val="left"/>
    </w:pPr>
  </w:style>
  <w:style w:type="paragraph" w:styleId="8">
    <w:name w:val="Date"/>
    <w:basedOn w:val="1"/>
    <w:next w:val="1"/>
    <w:link w:val="48"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uiPriority w:val="0"/>
    <w:rPr>
      <w:sz w:val="18"/>
      <w:szCs w:val="18"/>
    </w:rPr>
  </w:style>
  <w:style w:type="paragraph" w:styleId="10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uiPriority w:val="0"/>
    <w:rPr>
      <w:kern w:val="2"/>
      <w:sz w:val="18"/>
      <w:szCs w:val="18"/>
    </w:rPr>
  </w:style>
  <w:style w:type="character" w:customStyle="1" w:styleId="48">
    <w:name w:val="日期 Char"/>
    <w:link w:val="8"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uiPriority w:val="0"/>
  </w:style>
  <w:style w:type="paragraph" w:customStyle="1" w:styleId="51">
    <w:name w:val="xbrltitle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1252</Words>
  <Characters>1838</Characters>
  <Lines>14</Lines>
  <Paragraphs>4</Paragraphs>
  <TotalTime>0</TotalTime>
  <ScaleCrop>false</ScaleCrop>
  <LinksUpToDate>false</LinksUpToDate>
  <CharactersWithSpaces>1894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张晨阳</cp:lastModifiedBy>
  <cp:lastPrinted>2411-12-31T16:00:00Z</cp:lastPrinted>
  <dcterms:modified xsi:type="dcterms:W3CDTF">2023-07-20T01:38:47Z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E41E3A2564D44EE5A32AC112A016CBD3_12</vt:lpwstr>
  </property>
</Properties>
</file>