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桐庐农商银行丰收信福封闭净值型2023年第1期理财产品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自2023-07-01起至2023-09-30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桐庐农商银行丰收信福封闭净值型2023年第1期理财产品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2023-03-30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2024-06-07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17,600,000.00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[3.3%-3.7%]/年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1.69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2023-09-30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-673.21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177,086.79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17,897,859.68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1.01692384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21,357,217.58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119.32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21,357,217.58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119.32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61,873.23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17,899,200.00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17,899,200.00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21,419,090.81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119.67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中信证券丰收信丰8号集合资产管理计划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17,899,200.00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23合川投资CP001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1,791,497.65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10.01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23渝合D1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1,783,184.12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23青即D1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1,779,060.42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21青岛海创PPN001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1,759,225.56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20海诺01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1,734,369.42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9.69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1,716,284.18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9.59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23高新D1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1,703,836.08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20金坛06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1,696,044.65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G20嵊交1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1,687,010.53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9.43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21新高01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1,657,445.35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9.26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2023-10-15</w:t>
      </w:r>
      <w:r>
        <w:rPr>
          <w:rFonts w:hint="eastAsia" w:ascii="宋体" w:hAnsi="宋体"/>
          <w:sz w:val="28"/>
          <w:szCs w:val="28"/>
        </w:rPr>
        <w:t xml:space="preserve"> 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362C050B"/>
    <w:rsid w:val="47607BA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uiPriority w:val="0"/>
  </w:style>
  <w:style w:type="character" w:styleId="21">
    <w:name w:val="annotation reference"/>
    <w:uiPriority w:val="0"/>
    <w:rPr>
      <w:sz w:val="21"/>
      <w:szCs w:val="21"/>
    </w:rPr>
  </w:style>
  <w:style w:type="character" w:styleId="22">
    <w:name w:val="footnote reference"/>
    <w:uiPriority w:val="0"/>
    <w:rPr>
      <w:vertAlign w:val="superscript"/>
    </w:rPr>
  </w:style>
  <w:style w:type="character" w:customStyle="1" w:styleId="23">
    <w:name w:val="标题 3 Char"/>
    <w:link w:val="4"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314</Words>
  <Characters>1794</Characters>
  <Lines>14</Lines>
  <Paragraphs>4</Paragraphs>
  <TotalTime>0</TotalTime>
  <ScaleCrop>false</ScaleCrop>
  <LinksUpToDate>false</LinksUpToDate>
  <CharactersWithSpaces>2104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张晨阳</cp:lastModifiedBy>
  <cp:lastPrinted>2411-12-31T16:00:00Z</cp:lastPrinted>
  <dcterms:modified xsi:type="dcterms:W3CDTF">2023-10-20T02:57:05Z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181FE1190FE74C30A624A8E9DEC1831D_12</vt:lpwstr>
  </property>
</Properties>
</file>