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865F2B6">
      <w:pPr>
        <w:rPr>
          <w:sz w:val="48"/>
        </w:rPr>
      </w:pPr>
    </w:p>
    <w:p w14:paraId="01025987">
      <w:pPr>
        <w:rPr>
          <w:sz w:val="48"/>
        </w:rPr>
      </w:pPr>
    </w:p>
    <w:p w14:paraId="23B574F1">
      <w:pPr>
        <w:jc w:val="center"/>
        <w:rPr>
          <w:rFonts w:ascii="宋体" w:hAnsi="宋体"/>
          <w:b/>
          <w:bCs/>
          <w:sz w:val="48"/>
          <w:szCs w:val="30"/>
        </w:rPr>
      </w:pPr>
      <w:r>
        <w:rPr>
          <w:rFonts w:ascii="宋体" w:hAnsi="宋体"/>
          <w:b/>
          <w:bCs/>
          <w:sz w:val="48"/>
          <w:szCs w:val="30"/>
        </w:rPr>
        <w:t>桐庐农商银行丰收信福封闭净值型2024年第30期理财产品</w:t>
      </w:r>
    </w:p>
    <w:p w14:paraId="7ECEF82B">
      <w:pPr>
        <w:jc w:val="center"/>
        <w:rPr>
          <w:rFonts w:ascii="宋体" w:hAnsi="宋体"/>
          <w:b/>
          <w:bCs/>
          <w:sz w:val="48"/>
          <w:szCs w:val="30"/>
        </w:rPr>
      </w:pPr>
      <w:r>
        <w:rPr>
          <w:rFonts w:ascii="宋体" w:hAnsi="宋体"/>
          <w:b/>
          <w:bCs/>
          <w:sz w:val="48"/>
          <w:szCs w:val="30"/>
        </w:rPr>
        <w:t>2025年第1季度</w:t>
      </w:r>
      <w:r>
        <w:rPr>
          <w:rFonts w:hint="eastAsia" w:ascii="宋体" w:hAnsi="宋体"/>
          <w:b/>
          <w:bCs/>
          <w:sz w:val="48"/>
          <w:szCs w:val="30"/>
        </w:rPr>
        <w:t>报告</w:t>
      </w:r>
    </w:p>
    <w:p w14:paraId="58D4A743">
      <w:pPr>
        <w:jc w:val="center"/>
        <w:rPr>
          <w:rFonts w:ascii="宋体" w:hAnsi="宋体"/>
          <w:b/>
          <w:bCs/>
          <w:sz w:val="28"/>
          <w:szCs w:val="30"/>
        </w:rPr>
      </w:pPr>
    </w:p>
    <w:p w14:paraId="074C8DFA">
      <w:pPr>
        <w:jc w:val="center"/>
        <w:rPr>
          <w:rFonts w:ascii="宋体" w:hAnsi="宋体"/>
          <w:sz w:val="28"/>
          <w:szCs w:val="30"/>
        </w:rPr>
      </w:pPr>
    </w:p>
    <w:p w14:paraId="48395548">
      <w:pPr>
        <w:jc w:val="center"/>
        <w:rPr>
          <w:rFonts w:ascii="宋体" w:hAnsi="宋体"/>
          <w:sz w:val="28"/>
          <w:szCs w:val="30"/>
        </w:rPr>
      </w:pPr>
    </w:p>
    <w:p w14:paraId="69618BE8">
      <w:pPr>
        <w:jc w:val="center"/>
        <w:rPr>
          <w:rFonts w:ascii="宋体" w:hAnsi="宋体"/>
          <w:sz w:val="28"/>
          <w:szCs w:val="30"/>
        </w:rPr>
      </w:pPr>
    </w:p>
    <w:p w14:paraId="5768ED8C">
      <w:pPr>
        <w:jc w:val="center"/>
        <w:rPr>
          <w:rFonts w:ascii="宋体" w:hAnsi="宋体"/>
          <w:sz w:val="28"/>
          <w:szCs w:val="30"/>
        </w:rPr>
      </w:pPr>
    </w:p>
    <w:p w14:paraId="1CE65D81">
      <w:pPr>
        <w:jc w:val="center"/>
        <w:rPr>
          <w:rFonts w:ascii="宋体" w:hAnsi="宋体"/>
          <w:sz w:val="28"/>
          <w:szCs w:val="30"/>
        </w:rPr>
      </w:pPr>
    </w:p>
    <w:p w14:paraId="2C3F6E8F">
      <w:pPr>
        <w:jc w:val="center"/>
        <w:rPr>
          <w:rFonts w:ascii="宋体" w:hAnsi="宋体"/>
          <w:sz w:val="28"/>
          <w:szCs w:val="30"/>
        </w:rPr>
      </w:pPr>
    </w:p>
    <w:p w14:paraId="5BFEBAA0">
      <w:pPr>
        <w:jc w:val="center"/>
        <w:rPr>
          <w:rFonts w:ascii="宋体" w:hAnsi="宋体"/>
          <w:sz w:val="28"/>
          <w:szCs w:val="30"/>
        </w:rPr>
      </w:pPr>
    </w:p>
    <w:p w14:paraId="759E6C7D">
      <w:pPr>
        <w:jc w:val="center"/>
        <w:rPr>
          <w:rFonts w:ascii="宋体" w:hAnsi="宋体"/>
          <w:sz w:val="28"/>
          <w:szCs w:val="30"/>
        </w:rPr>
      </w:pPr>
    </w:p>
    <w:p w14:paraId="1AA34412">
      <w:pPr>
        <w:jc w:val="center"/>
        <w:rPr>
          <w:rFonts w:ascii="宋体" w:hAnsi="宋体"/>
          <w:sz w:val="28"/>
          <w:szCs w:val="30"/>
        </w:rPr>
      </w:pPr>
    </w:p>
    <w:p w14:paraId="7A075C79">
      <w:pPr>
        <w:jc w:val="center"/>
        <w:rPr>
          <w:rFonts w:ascii="宋体" w:hAnsi="宋体"/>
          <w:sz w:val="28"/>
          <w:szCs w:val="30"/>
        </w:rPr>
      </w:pPr>
    </w:p>
    <w:p w14:paraId="399E9118">
      <w:pPr>
        <w:jc w:val="center"/>
        <w:rPr>
          <w:rFonts w:ascii="宋体" w:hAnsi="宋体"/>
          <w:sz w:val="28"/>
          <w:szCs w:val="30"/>
        </w:rPr>
      </w:pPr>
    </w:p>
    <w:p w14:paraId="32556058">
      <w:pPr>
        <w:ind w:firstLine="1687" w:firstLineChars="600"/>
        <w:jc w:val="left"/>
        <w:rPr>
          <w:rFonts w:ascii="宋体" w:hAnsi="宋体"/>
          <w:b/>
          <w:bCs/>
          <w:sz w:val="28"/>
          <w:szCs w:val="30"/>
        </w:rPr>
      </w:pPr>
      <w:r>
        <w:rPr>
          <w:rFonts w:ascii="宋体" w:hAnsi="宋体"/>
          <w:b/>
          <w:bCs/>
          <w:sz w:val="28"/>
          <w:szCs w:val="30"/>
        </w:rPr>
        <w:t>产品管理人：浙江桐庐农村商业银行股份有限公司</w:t>
      </w:r>
    </w:p>
    <w:p w14:paraId="14A3C81F">
      <w:pPr>
        <w:ind w:firstLine="1687" w:firstLineChars="600"/>
        <w:jc w:val="left"/>
        <w:rPr>
          <w:rFonts w:ascii="宋体" w:hAnsi="宋体"/>
          <w:sz w:val="28"/>
          <w:szCs w:val="30"/>
        </w:rPr>
      </w:pPr>
      <w:r>
        <w:rPr>
          <w:rFonts w:ascii="宋体" w:hAnsi="宋体"/>
          <w:b/>
          <w:bCs/>
          <w:sz w:val="28"/>
          <w:szCs w:val="30"/>
        </w:rPr>
        <w:t>产品托管人：招商银行股份有限公司杭州分行</w:t>
      </w:r>
    </w:p>
    <w:p w14:paraId="3BAAAC1A">
      <w:pPr>
        <w:ind w:firstLine="1680" w:firstLineChars="600"/>
        <w:jc w:val="left"/>
        <w:rPr>
          <w:rFonts w:ascii="宋体" w:hAnsi="宋体"/>
          <w:sz w:val="28"/>
          <w:szCs w:val="30"/>
        </w:rPr>
      </w:pPr>
    </w:p>
    <w:p w14:paraId="689EB42B">
      <w:pPr>
        <w:ind w:firstLine="1680" w:firstLineChars="600"/>
        <w:jc w:val="left"/>
        <w:rPr>
          <w:rFonts w:ascii="宋体" w:hAnsi="宋体"/>
          <w:sz w:val="28"/>
          <w:szCs w:val="30"/>
        </w:rPr>
      </w:pPr>
    </w:p>
    <w:p w14:paraId="566C9A0A">
      <w:pPr>
        <w:ind w:firstLine="1680" w:firstLineChars="600"/>
        <w:jc w:val="left"/>
        <w:rPr>
          <w:rFonts w:ascii="宋体" w:hAnsi="宋体"/>
          <w:sz w:val="28"/>
          <w:szCs w:val="30"/>
        </w:rPr>
      </w:pPr>
    </w:p>
    <w:p w14:paraId="45B9C730">
      <w:pPr>
        <w:rPr>
          <w:rFonts w:ascii="宋体" w:hAnsi="宋体"/>
          <w:sz w:val="28"/>
          <w:szCs w:val="30"/>
        </w:rPr>
      </w:pPr>
    </w:p>
    <w:p w14:paraId="16F77699">
      <w:pPr>
        <w:jc w:val="center"/>
        <w:rPr>
          <w:rFonts w:ascii="宋体" w:hAnsi="宋体"/>
          <w:b/>
          <w:bCs/>
          <w:sz w:val="28"/>
          <w:szCs w:val="30"/>
        </w:rPr>
      </w:pPr>
    </w:p>
    <w:p w14:paraId="4CF583D2">
      <w:pPr>
        <w:jc w:val="center"/>
        <w:rPr>
          <w:rFonts w:ascii="宋体" w:hAnsi="宋体"/>
          <w:b/>
          <w:bCs/>
          <w:sz w:val="28"/>
          <w:szCs w:val="30"/>
        </w:rPr>
      </w:pPr>
      <w:r>
        <w:rPr>
          <w:rFonts w:hint="eastAsia" w:ascii="宋体" w:hAnsi="宋体"/>
          <w:b/>
          <w:bCs/>
          <w:sz w:val="28"/>
          <w:szCs w:val="30"/>
        </w:rPr>
        <w:t>重要提示</w:t>
      </w:r>
    </w:p>
    <w:p w14:paraId="7249F646">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5D8014AE">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4FD01C32">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352DED9C">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自2025-01-01起至2025-03-31</w:t>
      </w:r>
      <w:r>
        <w:rPr>
          <w:rFonts w:ascii="宋体" w:hAnsi="宋体"/>
          <w:szCs w:val="21"/>
        </w:rPr>
        <w:t>止。</w:t>
      </w:r>
    </w:p>
    <w:p w14:paraId="329CFC51">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02035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385A555">
            <w:pPr>
              <w:jc w:val="left"/>
              <w:rPr>
                <w:rFonts w:ascii="宋体" w:hAnsi="宋体"/>
                <w:b/>
                <w:szCs w:val="21"/>
              </w:rPr>
            </w:pPr>
            <w:r>
              <w:rPr>
                <w:rFonts w:hint="eastAsia" w:ascii="宋体" w:hAnsi="宋体"/>
                <w:b/>
                <w:szCs w:val="21"/>
              </w:rPr>
              <w:t>项目</w:t>
            </w:r>
          </w:p>
        </w:tc>
        <w:tc>
          <w:tcPr>
            <w:tcW w:w="5027" w:type="dxa"/>
            <w:vAlign w:val="center"/>
          </w:tcPr>
          <w:p w14:paraId="76A36B2B">
            <w:pPr>
              <w:jc w:val="left"/>
              <w:rPr>
                <w:rFonts w:ascii="宋体" w:hAnsi="宋体"/>
                <w:b/>
              </w:rPr>
            </w:pPr>
            <w:r>
              <w:rPr>
                <w:rFonts w:hint="eastAsia" w:ascii="宋体" w:hAnsi="宋体"/>
                <w:b/>
              </w:rPr>
              <w:t>信息</w:t>
            </w:r>
          </w:p>
        </w:tc>
      </w:tr>
      <w:tr w14:paraId="6EB69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E9B0F28">
            <w:pPr>
              <w:jc w:val="left"/>
              <w:rPr>
                <w:rFonts w:ascii="宋体" w:hAnsi="宋体"/>
              </w:rPr>
            </w:pPr>
            <w:r>
              <w:rPr>
                <w:rFonts w:hint="eastAsia" w:ascii="宋体" w:hAnsi="宋体"/>
                <w:szCs w:val="21"/>
              </w:rPr>
              <w:t>产品名称</w:t>
            </w:r>
          </w:p>
        </w:tc>
        <w:tc>
          <w:tcPr>
            <w:tcW w:w="5027" w:type="dxa"/>
            <w:vAlign w:val="center"/>
          </w:tcPr>
          <w:p w14:paraId="503DA7C3">
            <w:pPr>
              <w:jc w:val="left"/>
              <w:rPr>
                <w:rFonts w:ascii="宋体" w:hAnsi="宋体"/>
              </w:rPr>
            </w:pPr>
            <w:r>
              <w:rPr>
                <w:rFonts w:hint="eastAsia" w:ascii="宋体" w:hAnsi="宋体"/>
              </w:rPr>
              <w:t>桐庐农商银行丰收信福封闭净值型2024年第30期理财产品</w:t>
            </w:r>
          </w:p>
        </w:tc>
      </w:tr>
      <w:tr w14:paraId="68388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7787DEA">
            <w:pPr>
              <w:rPr>
                <w:rFonts w:ascii="宋体" w:hAnsi="宋体"/>
              </w:rPr>
            </w:pPr>
            <w:r>
              <w:rPr>
                <w:rFonts w:hint="eastAsia" w:ascii="宋体" w:hAnsi="宋体"/>
                <w:szCs w:val="21"/>
              </w:rPr>
              <w:t>产品登记编码</w:t>
            </w:r>
          </w:p>
        </w:tc>
        <w:tc>
          <w:tcPr>
            <w:tcW w:w="5027" w:type="dxa"/>
            <w:vAlign w:val="center"/>
          </w:tcPr>
          <w:p w14:paraId="124D1090">
            <w:pPr>
              <w:jc w:val="left"/>
              <w:rPr>
                <w:rFonts w:ascii="宋体" w:hAnsi="宋体"/>
              </w:rPr>
            </w:pPr>
            <w:r>
              <w:rPr>
                <w:rFonts w:ascii="宋体" w:hAnsi="宋体"/>
              </w:rPr>
              <w:t>C1123124000029</w:t>
            </w:r>
          </w:p>
        </w:tc>
      </w:tr>
      <w:tr w14:paraId="221A5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F678DB8">
            <w:pPr>
              <w:ind w:right="-107" w:rightChars="-51"/>
              <w:jc w:val="left"/>
              <w:rPr>
                <w:rFonts w:ascii="宋体" w:hAnsi="宋体"/>
              </w:rPr>
            </w:pPr>
            <w:r>
              <w:rPr>
                <w:rFonts w:hint="eastAsia" w:ascii="宋体" w:hAnsi="宋体"/>
                <w:szCs w:val="21"/>
              </w:rPr>
              <w:t>产品管理人</w:t>
            </w:r>
          </w:p>
        </w:tc>
        <w:tc>
          <w:tcPr>
            <w:tcW w:w="5027" w:type="dxa"/>
            <w:vAlign w:val="center"/>
          </w:tcPr>
          <w:p w14:paraId="206AD73A">
            <w:pPr>
              <w:jc w:val="left"/>
              <w:rPr>
                <w:rFonts w:ascii="宋体" w:hAnsi="宋体"/>
              </w:rPr>
            </w:pPr>
            <w:r>
              <w:rPr>
                <w:rFonts w:hint="eastAsia" w:ascii="宋体" w:hAnsi="宋体"/>
              </w:rPr>
              <w:t>浙江桐庐农村商业银行股份有限公司</w:t>
            </w:r>
          </w:p>
        </w:tc>
      </w:tr>
      <w:tr w14:paraId="1FC34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51F5CA7">
            <w:pPr>
              <w:jc w:val="left"/>
              <w:rPr>
                <w:rFonts w:ascii="宋体" w:hAnsi="宋体"/>
              </w:rPr>
            </w:pPr>
            <w:r>
              <w:rPr>
                <w:rFonts w:hint="eastAsia" w:ascii="宋体" w:hAnsi="宋体"/>
                <w:szCs w:val="21"/>
              </w:rPr>
              <w:t>产品托管人</w:t>
            </w:r>
          </w:p>
        </w:tc>
        <w:tc>
          <w:tcPr>
            <w:tcW w:w="5027" w:type="dxa"/>
            <w:vAlign w:val="center"/>
          </w:tcPr>
          <w:p w14:paraId="70822339">
            <w:pPr>
              <w:jc w:val="left"/>
              <w:rPr>
                <w:rFonts w:ascii="宋体" w:hAnsi="宋体"/>
              </w:rPr>
            </w:pPr>
            <w:r>
              <w:rPr>
                <w:rFonts w:ascii="宋体" w:hAnsi="宋体"/>
              </w:rPr>
              <w:t>招商银行股份有限公司杭州分行</w:t>
            </w:r>
          </w:p>
        </w:tc>
      </w:tr>
      <w:tr w14:paraId="1442E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B4F546D">
            <w:pPr>
              <w:jc w:val="left"/>
              <w:rPr>
                <w:rFonts w:ascii="宋体" w:hAnsi="宋体"/>
              </w:rPr>
            </w:pPr>
            <w:r>
              <w:rPr>
                <w:rFonts w:hint="eastAsia" w:ascii="宋体" w:hAnsi="宋体"/>
                <w:szCs w:val="21"/>
              </w:rPr>
              <w:t>产品运作方式</w:t>
            </w:r>
          </w:p>
        </w:tc>
        <w:tc>
          <w:tcPr>
            <w:tcW w:w="5027" w:type="dxa"/>
            <w:vAlign w:val="center"/>
          </w:tcPr>
          <w:p w14:paraId="55E5EEDA">
            <w:pPr>
              <w:jc w:val="left"/>
              <w:rPr>
                <w:rFonts w:ascii="宋体" w:hAnsi="宋体"/>
              </w:rPr>
            </w:pPr>
            <w:r>
              <w:rPr>
                <w:rFonts w:ascii="宋体" w:hAnsi="宋体"/>
              </w:rPr>
              <w:t>公募封闭式净值型银行理财</w:t>
            </w:r>
          </w:p>
        </w:tc>
      </w:tr>
      <w:tr w14:paraId="5B44E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995E467">
            <w:pPr>
              <w:jc w:val="left"/>
              <w:rPr>
                <w:rFonts w:ascii="宋体" w:hAnsi="宋体"/>
              </w:rPr>
            </w:pPr>
            <w:r>
              <w:rPr>
                <w:rFonts w:hint="eastAsia" w:ascii="宋体" w:hAnsi="宋体"/>
                <w:szCs w:val="21"/>
              </w:rPr>
              <w:t>产品成立日</w:t>
            </w:r>
          </w:p>
        </w:tc>
        <w:tc>
          <w:tcPr>
            <w:tcW w:w="5027" w:type="dxa"/>
            <w:vAlign w:val="center"/>
          </w:tcPr>
          <w:p w14:paraId="25736B91">
            <w:pPr>
              <w:jc w:val="left"/>
              <w:rPr>
                <w:rFonts w:ascii="宋体" w:hAnsi="宋体"/>
              </w:rPr>
            </w:pPr>
            <w:r>
              <w:rPr>
                <w:rFonts w:ascii="宋体" w:hAnsi="宋体"/>
              </w:rPr>
              <w:t>2024-08-22</w:t>
            </w:r>
          </w:p>
        </w:tc>
      </w:tr>
      <w:tr w14:paraId="5ABA1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B2ACF89">
            <w:pPr>
              <w:jc w:val="left"/>
              <w:rPr>
                <w:rFonts w:ascii="宋体" w:hAnsi="宋体"/>
                <w:szCs w:val="21"/>
              </w:rPr>
            </w:pPr>
            <w:r>
              <w:rPr>
                <w:rFonts w:hint="eastAsia" w:ascii="宋体" w:hAnsi="宋体"/>
                <w:szCs w:val="21"/>
              </w:rPr>
              <w:t>产品到期日</w:t>
            </w:r>
          </w:p>
        </w:tc>
        <w:tc>
          <w:tcPr>
            <w:tcW w:w="5027" w:type="dxa"/>
            <w:vAlign w:val="center"/>
          </w:tcPr>
          <w:p w14:paraId="13DF6085">
            <w:pPr>
              <w:jc w:val="left"/>
              <w:rPr>
                <w:rFonts w:ascii="宋体" w:hAnsi="宋体"/>
              </w:rPr>
            </w:pPr>
            <w:r>
              <w:rPr>
                <w:rFonts w:hint="eastAsia" w:ascii="宋体" w:hAnsi="宋体"/>
              </w:rPr>
              <w:t>2025-08-22</w:t>
            </w:r>
          </w:p>
        </w:tc>
      </w:tr>
      <w:tr w14:paraId="04661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0D99F091">
            <w:pPr>
              <w:rPr>
                <w:rFonts w:ascii="宋体" w:hAnsi="宋体"/>
                <w:szCs w:val="21"/>
              </w:rPr>
            </w:pPr>
            <w:r>
              <w:rPr>
                <w:rFonts w:hint="eastAsia" w:ascii="宋体" w:hAnsi="宋体"/>
                <w:szCs w:val="21"/>
              </w:rPr>
              <w:t>报告期末产品份额总额</w:t>
            </w:r>
          </w:p>
        </w:tc>
        <w:tc>
          <w:tcPr>
            <w:tcW w:w="5027" w:type="dxa"/>
            <w:vAlign w:val="center"/>
          </w:tcPr>
          <w:p w14:paraId="10DF12D9">
            <w:pPr>
              <w:jc w:val="left"/>
              <w:rPr>
                <w:rFonts w:ascii="宋体" w:hAnsi="宋体"/>
              </w:rPr>
            </w:pPr>
            <w:bookmarkStart w:id="0" w:name="OLE_LINK1"/>
            <w:r>
              <w:rPr>
                <w:rFonts w:hint="eastAsia" w:ascii="宋体" w:hAnsi="宋体"/>
              </w:rPr>
              <w:t>10,000,000.00</w:t>
            </w:r>
            <w:bookmarkEnd w:id="0"/>
          </w:p>
        </w:tc>
      </w:tr>
      <w:tr w14:paraId="38258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47A4B0A">
            <w:pPr>
              <w:rPr>
                <w:rFonts w:ascii="宋体" w:hAnsi="宋体"/>
                <w:szCs w:val="21"/>
              </w:rPr>
            </w:pPr>
            <w:r>
              <w:rPr>
                <w:rFonts w:hint="eastAsia" w:ascii="宋体" w:hAnsi="宋体"/>
                <w:szCs w:val="21"/>
              </w:rPr>
              <w:t>业绩比较基准（如有）</w:t>
            </w:r>
          </w:p>
        </w:tc>
        <w:tc>
          <w:tcPr>
            <w:tcW w:w="5027" w:type="dxa"/>
            <w:vAlign w:val="center"/>
          </w:tcPr>
          <w:p w14:paraId="278A8116">
            <w:pPr>
              <w:jc w:val="left"/>
              <w:rPr>
                <w:rFonts w:ascii="宋体" w:hAnsi="宋体"/>
              </w:rPr>
            </w:pPr>
            <w:r>
              <w:rPr>
                <w:rFonts w:ascii="宋体" w:hAnsi="宋体"/>
              </w:rPr>
              <w:t>[2.3%-3.7%]/年</w:t>
            </w:r>
          </w:p>
        </w:tc>
      </w:tr>
      <w:tr w14:paraId="2ECDB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9A2DB41">
            <w:pPr>
              <w:rPr>
                <w:rFonts w:ascii="宋体" w:hAnsi="宋体"/>
                <w:szCs w:val="21"/>
              </w:rPr>
            </w:pPr>
            <w:r>
              <w:rPr>
                <w:rFonts w:hint="eastAsia" w:ascii="宋体" w:hAnsi="宋体"/>
                <w:szCs w:val="21"/>
              </w:rPr>
              <w:t>估值方法</w:t>
            </w:r>
          </w:p>
        </w:tc>
        <w:tc>
          <w:tcPr>
            <w:tcW w:w="5027" w:type="dxa"/>
            <w:vAlign w:val="center"/>
          </w:tcPr>
          <w:p w14:paraId="2531FDF8">
            <w:pPr>
              <w:jc w:val="left"/>
              <w:rPr>
                <w:rFonts w:ascii="宋体" w:hAnsi="宋体"/>
              </w:rPr>
            </w:pPr>
            <w:r>
              <w:rPr>
                <w:rFonts w:ascii="宋体" w:hAnsi="宋体"/>
              </w:rPr>
              <w:t>市值法</w:t>
            </w:r>
          </w:p>
        </w:tc>
      </w:tr>
    </w:tbl>
    <w:p w14:paraId="0E24F907">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36F44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66" w:hRule="atLeast"/>
        </w:trPr>
        <w:tc>
          <w:tcPr>
            <w:tcW w:w="3853" w:type="dxa"/>
            <w:shd w:val="clear" w:color="auto" w:fill="D9D9D9"/>
            <w:vAlign w:val="center"/>
          </w:tcPr>
          <w:p w14:paraId="0A6C2F81">
            <w:pPr>
              <w:jc w:val="center"/>
              <w:rPr>
                <w:rFonts w:ascii="宋体" w:hAnsi="宋体"/>
                <w:b/>
              </w:rPr>
            </w:pPr>
            <w:r>
              <w:rPr>
                <w:rFonts w:hint="eastAsia"/>
                <w:b/>
              </w:rPr>
              <w:t>阶段</w:t>
            </w:r>
          </w:p>
        </w:tc>
        <w:tc>
          <w:tcPr>
            <w:tcW w:w="5103" w:type="dxa"/>
            <w:shd w:val="clear" w:color="auto" w:fill="D9D9D9"/>
            <w:vAlign w:val="center"/>
          </w:tcPr>
          <w:p w14:paraId="5A6251ED">
            <w:pPr>
              <w:jc w:val="center"/>
              <w:rPr>
                <w:rFonts w:ascii="宋体" w:hAnsi="宋体"/>
                <w:b/>
              </w:rPr>
            </w:pPr>
            <w:r>
              <w:rPr>
                <w:b/>
              </w:rPr>
              <w:t>净值增长率</w:t>
            </w:r>
            <w:r>
              <w:rPr>
                <w:rFonts w:hint="eastAsia"/>
                <w:b/>
              </w:rPr>
              <w:t>（%）</w:t>
            </w:r>
          </w:p>
        </w:tc>
      </w:tr>
      <w:tr w14:paraId="3EA31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06E567AC">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2025-03-31</w:t>
            </w:r>
            <w:r>
              <w:rPr>
                <w:rFonts w:hint="eastAsia" w:ascii="宋体" w:hAnsi="宋体"/>
              </w:rPr>
              <w:t>）</w:t>
            </w:r>
          </w:p>
        </w:tc>
        <w:tc>
          <w:tcPr>
            <w:tcW w:w="5103" w:type="dxa"/>
            <w:vAlign w:val="center"/>
          </w:tcPr>
          <w:p w14:paraId="4CC32F2C">
            <w:pPr>
              <w:jc w:val="right"/>
            </w:pPr>
            <w:r>
              <w:t>0.15</w:t>
            </w:r>
          </w:p>
        </w:tc>
      </w:tr>
      <w:tr w14:paraId="3B5BF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3B602251">
            <w:pPr>
              <w:jc w:val="center"/>
              <w:rPr>
                <w:rFonts w:ascii="宋体" w:hAnsi="宋体"/>
              </w:rPr>
            </w:pPr>
            <w:r>
              <w:rPr>
                <w:rFonts w:hint="eastAsia" w:ascii="宋体" w:hAnsi="宋体"/>
              </w:rPr>
              <w:t>自产品成立日至今</w:t>
            </w:r>
          </w:p>
        </w:tc>
        <w:tc>
          <w:tcPr>
            <w:tcW w:w="5103" w:type="dxa"/>
            <w:vAlign w:val="center"/>
          </w:tcPr>
          <w:p w14:paraId="27765049">
            <w:pPr>
              <w:jc w:val="right"/>
            </w:pPr>
            <w:r>
              <w:t>1.39</w:t>
            </w:r>
            <w:bookmarkStart w:id="1" w:name="OLE_LINK4"/>
            <w:bookmarkEnd w:id="1"/>
            <w:bookmarkStart w:id="2" w:name="OLE_LINK7"/>
            <w:bookmarkEnd w:id="2"/>
          </w:p>
        </w:tc>
      </w:tr>
    </w:tbl>
    <w:p w14:paraId="0CD2343D">
      <w:pPr>
        <w:spacing w:line="360" w:lineRule="auto"/>
        <w:ind w:left="420" w:leftChars="200"/>
        <w:jc w:val="left"/>
        <w:rPr>
          <w:rFonts w:ascii="宋体" w:hAnsi="宋体"/>
          <w:sz w:val="24"/>
        </w:rPr>
      </w:pPr>
      <w:r>
        <w:rPr>
          <w:rFonts w:ascii="宋体" w:hAnsi="宋体"/>
          <w:sz w:val="24"/>
        </w:rPr>
        <w:t xml:space="preserve"> </w:t>
      </w:r>
    </w:p>
    <w:p w14:paraId="2294B176">
      <w:pPr>
        <w:pStyle w:val="40"/>
      </w:pPr>
      <w:r>
        <w:rPr>
          <w:rFonts w:hint="eastAsia"/>
        </w:rPr>
        <w:t>主要财务指标</w:t>
      </w:r>
    </w:p>
    <w:p w14:paraId="62677D11">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7FB5F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2F964E35">
            <w:pPr>
              <w:jc w:val="left"/>
              <w:rPr>
                <w:rFonts w:ascii="宋体" w:hAnsi="宋体"/>
                <w:b/>
              </w:rPr>
            </w:pPr>
            <w:r>
              <w:rPr>
                <w:rFonts w:hint="eastAsia"/>
                <w:b/>
                <w:bCs/>
              </w:rPr>
              <w:t>项目</w:t>
            </w:r>
          </w:p>
        </w:tc>
        <w:tc>
          <w:tcPr>
            <w:tcW w:w="5027" w:type="dxa"/>
            <w:shd w:val="clear" w:color="auto" w:fill="D9D9D9"/>
            <w:vAlign w:val="center"/>
          </w:tcPr>
          <w:p w14:paraId="434D3B12">
            <w:pPr>
              <w:jc w:val="left"/>
              <w:rPr>
                <w:b/>
              </w:rPr>
            </w:pPr>
            <w:r>
              <w:rPr>
                <w:b/>
              </w:rPr>
              <w:t>2025-01-01</w:t>
            </w:r>
            <w:r>
              <w:rPr>
                <w:rFonts w:hint="eastAsia"/>
                <w:b/>
              </w:rPr>
              <w:t xml:space="preserve">至 </w:t>
            </w:r>
            <w:r>
              <w:rPr>
                <w:b/>
              </w:rPr>
              <w:t>2025-03-31</w:t>
            </w:r>
          </w:p>
        </w:tc>
      </w:tr>
      <w:tr w14:paraId="34FA3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A403276">
            <w:pPr>
              <w:rPr>
                <w:rFonts w:ascii="宋体" w:hAnsi="宋体"/>
              </w:rPr>
            </w:pPr>
            <w:r>
              <w:rPr>
                <w:rFonts w:hint="eastAsia" w:ascii="宋体" w:hAnsi="宋体"/>
                <w:szCs w:val="21"/>
              </w:rPr>
              <w:t>本期已实现收益</w:t>
            </w:r>
          </w:p>
        </w:tc>
        <w:tc>
          <w:tcPr>
            <w:tcW w:w="5027" w:type="dxa"/>
            <w:vAlign w:val="center"/>
          </w:tcPr>
          <w:p w14:paraId="4A75E214">
            <w:pPr>
              <w:jc w:val="right"/>
            </w:pPr>
            <w:r>
              <w:t>-374.63</w:t>
            </w:r>
          </w:p>
        </w:tc>
      </w:tr>
      <w:tr w14:paraId="52355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1D968A0E">
            <w:pPr>
              <w:ind w:hanging="1"/>
              <w:jc w:val="left"/>
              <w:rPr>
                <w:rFonts w:ascii="宋体" w:hAnsi="宋体"/>
              </w:rPr>
            </w:pPr>
            <w:r>
              <w:rPr>
                <w:rFonts w:ascii="宋体" w:hAnsi="宋体" w:eastAsia="宋体"/>
                <w:b w:val="0"/>
                <w:i w:val="0"/>
                <w:strike w:val="0"/>
                <w:u w:val="none"/>
              </w:rPr>
              <w:t>本期利润</w:t>
            </w:r>
          </w:p>
        </w:tc>
        <w:tc>
          <w:tcPr>
            <w:tcW w:w="5027" w:type="dxa"/>
            <w:shd w:val="clear" w:color="auto" w:fill="auto"/>
            <w:vAlign w:val="center"/>
          </w:tcPr>
          <w:p w14:paraId="059F58B7">
            <w:pPr>
              <w:ind w:hanging="1"/>
              <w:jc w:val="right"/>
            </w:pPr>
            <w:r>
              <w:rPr>
                <w:b w:val="0"/>
                <w:i w:val="0"/>
                <w:strike w:val="0"/>
                <w:u w:val="none"/>
              </w:rPr>
              <w:t>15,196.31</w:t>
            </w:r>
          </w:p>
        </w:tc>
      </w:tr>
      <w:tr w14:paraId="68A76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157CE3F7">
            <w:pPr>
              <w:ind w:hanging="1"/>
              <w:jc w:val="left"/>
              <w:rPr>
                <w:rFonts w:ascii="宋体" w:hAnsi="宋体"/>
              </w:rPr>
            </w:pPr>
            <w:r>
              <w:rPr>
                <w:rFonts w:ascii="宋体" w:hAnsi="宋体" w:eastAsia="宋体"/>
                <w:b w:val="0"/>
                <w:i w:val="0"/>
                <w:strike w:val="0"/>
                <w:u w:val="none"/>
              </w:rPr>
              <w:t>期末产品资产净值</w:t>
            </w:r>
          </w:p>
        </w:tc>
        <w:tc>
          <w:tcPr>
            <w:tcW w:w="5027" w:type="dxa"/>
            <w:shd w:val="clear" w:color="auto" w:fill="auto"/>
            <w:vAlign w:val="center"/>
          </w:tcPr>
          <w:p w14:paraId="59E2CC33">
            <w:pPr>
              <w:ind w:hanging="1"/>
              <w:jc w:val="right"/>
            </w:pPr>
            <w:r>
              <w:rPr>
                <w:b w:val="0"/>
                <w:i w:val="0"/>
                <w:strike w:val="0"/>
                <w:u w:val="none"/>
              </w:rPr>
              <w:t>10,139,224.77</w:t>
            </w:r>
          </w:p>
        </w:tc>
      </w:tr>
      <w:tr w14:paraId="764EA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46DAE6E4">
            <w:pPr>
              <w:ind w:hanging="1"/>
              <w:jc w:val="left"/>
              <w:rPr>
                <w:rFonts w:ascii="宋体" w:hAnsi="宋体"/>
              </w:rPr>
            </w:pPr>
            <w:r>
              <w:rPr>
                <w:rFonts w:ascii="宋体" w:hAnsi="宋体" w:eastAsia="宋体"/>
                <w:b w:val="0"/>
                <w:i w:val="0"/>
                <w:strike w:val="0"/>
                <w:u w:val="none"/>
              </w:rPr>
              <w:t>期末产品份额净值</w:t>
            </w:r>
          </w:p>
        </w:tc>
        <w:tc>
          <w:tcPr>
            <w:tcW w:w="5027" w:type="dxa"/>
            <w:shd w:val="clear" w:color="auto" w:fill="auto"/>
            <w:vAlign w:val="center"/>
          </w:tcPr>
          <w:p w14:paraId="6470EE88">
            <w:pPr>
              <w:ind w:hanging="1"/>
              <w:jc w:val="right"/>
            </w:pPr>
            <w:r>
              <w:rPr>
                <w:b w:val="0"/>
                <w:i w:val="0"/>
                <w:strike w:val="0"/>
                <w:u w:val="none"/>
              </w:rPr>
              <w:t>1.01392247</w:t>
            </w:r>
          </w:p>
        </w:tc>
      </w:tr>
    </w:tbl>
    <w:p w14:paraId="1A051AD8">
      <w:pPr>
        <w:tabs>
          <w:tab w:val="left" w:pos="3135"/>
        </w:tabs>
        <w:ind w:left="420" w:leftChars="200"/>
      </w:pPr>
    </w:p>
    <w:p w14:paraId="1E0A02DD">
      <w:pPr>
        <w:pStyle w:val="40"/>
      </w:pPr>
      <w:r>
        <w:rPr>
          <w:rFonts w:hint="eastAsia"/>
        </w:rPr>
        <w:t>投资组合情况及</w:t>
      </w:r>
      <w:r>
        <w:t>流动性风险分析</w:t>
      </w:r>
    </w:p>
    <w:p w14:paraId="7084B8A1">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731B475">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F7D8A00">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70C17D0">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4336245">
      <w:pPr>
        <w:pStyle w:val="41"/>
        <w:spacing w:before="156" w:after="156"/>
      </w:pPr>
      <w:r>
        <w:rPr>
          <w:rFonts w:hint="eastAsia"/>
          <w:b w:val="0"/>
        </w:rPr>
        <w:t>期末资产组合情况</w:t>
      </w:r>
    </w:p>
    <w:p w14:paraId="29CDED9A">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16A22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4E5CE313">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6EF1AF1A">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4584D3F4">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79FB76BF">
            <w:pPr>
              <w:jc w:val="center"/>
              <w:rPr>
                <w:rFonts w:ascii="宋体" w:hAnsi="宋体"/>
                <w:b/>
                <w:szCs w:val="21"/>
              </w:rPr>
            </w:pPr>
            <w:r>
              <w:rPr>
                <w:rFonts w:hint="eastAsia" w:ascii="宋体" w:hAnsi="宋体"/>
                <w:b/>
                <w:szCs w:val="21"/>
              </w:rPr>
              <w:t>间接</w:t>
            </w:r>
            <w:r>
              <w:rPr>
                <w:rFonts w:ascii="宋体" w:hAnsi="宋体"/>
                <w:b/>
                <w:szCs w:val="21"/>
              </w:rPr>
              <w:t>投资</w:t>
            </w:r>
          </w:p>
        </w:tc>
      </w:tr>
      <w:tr w14:paraId="1CDF5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7C925C6D">
            <w:pPr>
              <w:jc w:val="center"/>
              <w:rPr>
                <w:rFonts w:ascii="宋体" w:hAnsi="宋体"/>
                <w:b/>
                <w:szCs w:val="21"/>
              </w:rPr>
            </w:pPr>
          </w:p>
        </w:tc>
        <w:tc>
          <w:tcPr>
            <w:tcW w:w="1447" w:type="dxa"/>
            <w:vMerge w:val="continue"/>
            <w:shd w:val="clear" w:color="auto" w:fill="D9D9D9"/>
            <w:vAlign w:val="center"/>
          </w:tcPr>
          <w:p w14:paraId="16751315">
            <w:pPr>
              <w:jc w:val="center"/>
              <w:rPr>
                <w:rFonts w:ascii="宋体" w:hAnsi="宋体"/>
                <w:b/>
                <w:szCs w:val="21"/>
              </w:rPr>
            </w:pPr>
          </w:p>
        </w:tc>
        <w:tc>
          <w:tcPr>
            <w:tcW w:w="1697" w:type="dxa"/>
            <w:shd w:val="clear" w:color="auto" w:fill="D9D9D9"/>
            <w:vAlign w:val="center"/>
          </w:tcPr>
          <w:p w14:paraId="6A4C805A">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463574A1">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45F619D6">
            <w:pPr>
              <w:jc w:val="center"/>
              <w:rPr>
                <w:rFonts w:ascii="宋体" w:hAnsi="宋体"/>
                <w:b/>
                <w:szCs w:val="21"/>
              </w:rPr>
            </w:pPr>
            <w:r>
              <w:rPr>
                <w:rFonts w:hint="eastAsia" w:ascii="宋体" w:hAnsi="宋体"/>
                <w:b/>
                <w:szCs w:val="21"/>
              </w:rPr>
              <w:t>金额</w:t>
            </w:r>
          </w:p>
        </w:tc>
        <w:tc>
          <w:tcPr>
            <w:tcW w:w="1705" w:type="dxa"/>
            <w:shd w:val="clear" w:color="auto" w:fill="D9D9D9"/>
          </w:tcPr>
          <w:p w14:paraId="559B5A9B">
            <w:pPr>
              <w:jc w:val="center"/>
              <w:rPr>
                <w:rFonts w:ascii="宋体" w:hAnsi="宋体"/>
                <w:b/>
                <w:szCs w:val="21"/>
              </w:rPr>
            </w:pPr>
            <w:r>
              <w:rPr>
                <w:rFonts w:hint="eastAsia" w:ascii="宋体" w:hAnsi="宋体"/>
                <w:b/>
                <w:szCs w:val="21"/>
              </w:rPr>
              <w:t>占产品总资产的比例（%）</w:t>
            </w:r>
          </w:p>
        </w:tc>
      </w:tr>
      <w:tr w14:paraId="2F32B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3049795">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3F8B205E">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67F791ED">
            <w:pPr>
              <w:jc w:val="right"/>
            </w:pPr>
            <w:r>
              <w:t>0.00</w:t>
            </w:r>
          </w:p>
        </w:tc>
        <w:tc>
          <w:tcPr>
            <w:tcW w:w="1749" w:type="dxa"/>
            <w:shd w:val="clear" w:color="auto" w:fill="auto"/>
            <w:vAlign w:val="center"/>
          </w:tcPr>
          <w:p w14:paraId="299260DB">
            <w:pPr>
              <w:jc w:val="right"/>
            </w:pPr>
            <w:r>
              <w:t>0.00</w:t>
            </w:r>
          </w:p>
        </w:tc>
        <w:tc>
          <w:tcPr>
            <w:tcW w:w="1653" w:type="dxa"/>
            <w:vAlign w:val="center"/>
          </w:tcPr>
          <w:p w14:paraId="7367BDA2">
            <w:pPr>
              <w:jc w:val="right"/>
            </w:pPr>
            <w:r>
              <w:t>0.00</w:t>
            </w:r>
          </w:p>
        </w:tc>
        <w:tc>
          <w:tcPr>
            <w:tcW w:w="1705" w:type="dxa"/>
            <w:vAlign w:val="center"/>
          </w:tcPr>
          <w:p w14:paraId="5270094F">
            <w:pPr>
              <w:jc w:val="right"/>
            </w:pPr>
            <w:r>
              <w:t>0.00</w:t>
            </w:r>
          </w:p>
        </w:tc>
      </w:tr>
      <w:tr w14:paraId="7173D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065290E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8CD4B02">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03DE53CB">
            <w:pPr>
              <w:jc w:val="right"/>
            </w:pPr>
            <w:r>
              <w:t>0.00</w:t>
            </w:r>
          </w:p>
        </w:tc>
        <w:tc>
          <w:tcPr>
            <w:tcW w:w="1749" w:type="dxa"/>
            <w:shd w:val="clear" w:color="auto" w:fill="auto"/>
            <w:vAlign w:val="center"/>
          </w:tcPr>
          <w:p w14:paraId="1D8CA9D2">
            <w:pPr>
              <w:jc w:val="right"/>
            </w:pPr>
            <w:r>
              <w:t>0.00</w:t>
            </w:r>
          </w:p>
        </w:tc>
        <w:tc>
          <w:tcPr>
            <w:tcW w:w="1653" w:type="dxa"/>
            <w:vAlign w:val="center"/>
          </w:tcPr>
          <w:p w14:paraId="680FEDD8">
            <w:pPr>
              <w:jc w:val="right"/>
            </w:pPr>
            <w:r>
              <w:t>0.00</w:t>
            </w:r>
          </w:p>
        </w:tc>
        <w:tc>
          <w:tcPr>
            <w:tcW w:w="1705" w:type="dxa"/>
            <w:vAlign w:val="center"/>
          </w:tcPr>
          <w:p w14:paraId="3AFECE69">
            <w:pPr>
              <w:jc w:val="right"/>
            </w:pPr>
            <w:r>
              <w:t>0.00</w:t>
            </w:r>
          </w:p>
        </w:tc>
      </w:tr>
      <w:tr w14:paraId="72616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D884A9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B521868">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43FA3D62">
            <w:pPr>
              <w:jc w:val="right"/>
            </w:pPr>
          </w:p>
        </w:tc>
        <w:tc>
          <w:tcPr>
            <w:tcW w:w="1749" w:type="dxa"/>
            <w:shd w:val="clear" w:color="auto" w:fill="auto"/>
            <w:vAlign w:val="center"/>
          </w:tcPr>
          <w:p w14:paraId="5266FE71">
            <w:pPr>
              <w:jc w:val="right"/>
            </w:pPr>
          </w:p>
        </w:tc>
        <w:tc>
          <w:tcPr>
            <w:tcW w:w="1653" w:type="dxa"/>
            <w:vAlign w:val="center"/>
          </w:tcPr>
          <w:p w14:paraId="734DEDB7">
            <w:pPr>
              <w:jc w:val="right"/>
            </w:pPr>
          </w:p>
        </w:tc>
        <w:tc>
          <w:tcPr>
            <w:tcW w:w="1705" w:type="dxa"/>
            <w:vAlign w:val="center"/>
          </w:tcPr>
          <w:p w14:paraId="7510D4C3">
            <w:pPr>
              <w:jc w:val="right"/>
            </w:pPr>
          </w:p>
        </w:tc>
      </w:tr>
      <w:tr w14:paraId="5632F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D11937B">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685A9A8C">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7F1A8820">
            <w:pPr>
              <w:jc w:val="right"/>
            </w:pPr>
            <w:r>
              <w:t>0.00</w:t>
            </w:r>
          </w:p>
        </w:tc>
        <w:tc>
          <w:tcPr>
            <w:tcW w:w="1749" w:type="dxa"/>
            <w:shd w:val="clear" w:color="auto" w:fill="auto"/>
            <w:vAlign w:val="center"/>
          </w:tcPr>
          <w:p w14:paraId="314A27AC">
            <w:pPr>
              <w:jc w:val="right"/>
            </w:pPr>
            <w:r>
              <w:t>0.00</w:t>
            </w:r>
          </w:p>
        </w:tc>
        <w:tc>
          <w:tcPr>
            <w:tcW w:w="1653" w:type="dxa"/>
            <w:vAlign w:val="center"/>
          </w:tcPr>
          <w:p w14:paraId="10469349">
            <w:pPr>
              <w:jc w:val="right"/>
            </w:pPr>
            <w:r>
              <w:t>415,066.78</w:t>
            </w:r>
          </w:p>
        </w:tc>
        <w:tc>
          <w:tcPr>
            <w:tcW w:w="1705" w:type="dxa"/>
            <w:vAlign w:val="center"/>
          </w:tcPr>
          <w:p w14:paraId="4ABDC62A">
            <w:pPr>
              <w:jc w:val="right"/>
            </w:pPr>
            <w:r>
              <w:t>4.09</w:t>
            </w:r>
          </w:p>
        </w:tc>
      </w:tr>
      <w:tr w14:paraId="77BFA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83F2252">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1EAC930E">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6C3FA3D5">
            <w:pPr>
              <w:jc w:val="right"/>
            </w:pPr>
            <w:r>
              <w:t>0.00</w:t>
            </w:r>
          </w:p>
        </w:tc>
        <w:tc>
          <w:tcPr>
            <w:tcW w:w="1749" w:type="dxa"/>
            <w:shd w:val="clear" w:color="auto" w:fill="auto"/>
            <w:vAlign w:val="center"/>
          </w:tcPr>
          <w:p w14:paraId="1DB2EE7C">
            <w:pPr>
              <w:jc w:val="right"/>
            </w:pPr>
            <w:r>
              <w:t>0.00</w:t>
            </w:r>
          </w:p>
        </w:tc>
        <w:tc>
          <w:tcPr>
            <w:tcW w:w="1653" w:type="dxa"/>
            <w:vAlign w:val="center"/>
          </w:tcPr>
          <w:p w14:paraId="5C411CD7">
            <w:pPr>
              <w:jc w:val="right"/>
            </w:pPr>
            <w:r>
              <w:t>10,193,074.41</w:t>
            </w:r>
          </w:p>
        </w:tc>
        <w:tc>
          <w:tcPr>
            <w:tcW w:w="1705" w:type="dxa"/>
            <w:vAlign w:val="center"/>
          </w:tcPr>
          <w:p w14:paraId="7F13F414">
            <w:pPr>
              <w:jc w:val="right"/>
            </w:pPr>
            <w:r>
              <w:t>100.52</w:t>
            </w:r>
          </w:p>
        </w:tc>
      </w:tr>
      <w:tr w14:paraId="2B384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2C6F1C8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03884C46">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109C5F68">
            <w:pPr>
              <w:jc w:val="right"/>
            </w:pPr>
            <w:r>
              <w:t>0.00</w:t>
            </w:r>
          </w:p>
        </w:tc>
        <w:tc>
          <w:tcPr>
            <w:tcW w:w="1749" w:type="dxa"/>
            <w:shd w:val="clear" w:color="auto" w:fill="auto"/>
            <w:vAlign w:val="center"/>
          </w:tcPr>
          <w:p w14:paraId="44699E67">
            <w:pPr>
              <w:jc w:val="right"/>
            </w:pPr>
            <w:r>
              <w:t>0.00</w:t>
            </w:r>
          </w:p>
        </w:tc>
        <w:tc>
          <w:tcPr>
            <w:tcW w:w="1653" w:type="dxa"/>
            <w:vAlign w:val="center"/>
          </w:tcPr>
          <w:p w14:paraId="2C4A52B8">
            <w:pPr>
              <w:jc w:val="right"/>
            </w:pPr>
            <w:r>
              <w:t>9,488,078.42</w:t>
            </w:r>
          </w:p>
        </w:tc>
        <w:tc>
          <w:tcPr>
            <w:tcW w:w="1705" w:type="dxa"/>
            <w:vAlign w:val="center"/>
          </w:tcPr>
          <w:p w14:paraId="437F2798">
            <w:pPr>
              <w:jc w:val="right"/>
            </w:pPr>
            <w:r>
              <w:t>93.57</w:t>
            </w:r>
          </w:p>
        </w:tc>
      </w:tr>
      <w:tr w14:paraId="10076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14830AF">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795CDA3B">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31C8166A">
            <w:pPr>
              <w:jc w:val="right"/>
            </w:pPr>
            <w:r>
              <w:t>0.00</w:t>
            </w:r>
          </w:p>
        </w:tc>
        <w:tc>
          <w:tcPr>
            <w:tcW w:w="1749" w:type="dxa"/>
            <w:shd w:val="clear" w:color="auto" w:fill="auto"/>
            <w:vAlign w:val="center"/>
          </w:tcPr>
          <w:p w14:paraId="676536C9">
            <w:pPr>
              <w:jc w:val="right"/>
            </w:pPr>
            <w:r>
              <w:t>0.00</w:t>
            </w:r>
          </w:p>
        </w:tc>
        <w:tc>
          <w:tcPr>
            <w:tcW w:w="1653" w:type="dxa"/>
            <w:vAlign w:val="center"/>
          </w:tcPr>
          <w:p w14:paraId="3B7E0E3C">
            <w:pPr>
              <w:jc w:val="right"/>
            </w:pPr>
            <w:r>
              <w:t>704,995.99</w:t>
            </w:r>
          </w:p>
        </w:tc>
        <w:tc>
          <w:tcPr>
            <w:tcW w:w="1705" w:type="dxa"/>
            <w:vAlign w:val="center"/>
          </w:tcPr>
          <w:p w14:paraId="09BDA42D">
            <w:pPr>
              <w:jc w:val="right"/>
            </w:pPr>
            <w:r>
              <w:t>6.95</w:t>
            </w:r>
          </w:p>
        </w:tc>
      </w:tr>
      <w:tr w14:paraId="02EE0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DD417DA">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7483110C">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2ABEDA43">
            <w:pPr>
              <w:jc w:val="right"/>
            </w:pPr>
            <w:r>
              <w:t>0.00</w:t>
            </w:r>
          </w:p>
        </w:tc>
        <w:tc>
          <w:tcPr>
            <w:tcW w:w="1749" w:type="dxa"/>
            <w:shd w:val="clear" w:color="auto" w:fill="auto"/>
            <w:vAlign w:val="center"/>
          </w:tcPr>
          <w:p w14:paraId="796B9365">
            <w:pPr>
              <w:jc w:val="right"/>
            </w:pPr>
            <w:r>
              <w:t>0.00</w:t>
            </w:r>
          </w:p>
        </w:tc>
        <w:tc>
          <w:tcPr>
            <w:tcW w:w="1653" w:type="dxa"/>
            <w:vAlign w:val="center"/>
          </w:tcPr>
          <w:p w14:paraId="4F1A37BB">
            <w:pPr>
              <w:jc w:val="right"/>
            </w:pPr>
            <w:r>
              <w:t>0.00</w:t>
            </w:r>
          </w:p>
        </w:tc>
        <w:tc>
          <w:tcPr>
            <w:tcW w:w="1705" w:type="dxa"/>
            <w:vAlign w:val="center"/>
          </w:tcPr>
          <w:p w14:paraId="65B8A881">
            <w:pPr>
              <w:jc w:val="right"/>
            </w:pPr>
            <w:r>
              <w:t>0.00</w:t>
            </w:r>
          </w:p>
        </w:tc>
      </w:tr>
      <w:tr w14:paraId="20DFE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92EE14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9C5680D">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6E4A10D0">
            <w:pPr>
              <w:jc w:val="right"/>
            </w:pPr>
          </w:p>
        </w:tc>
        <w:tc>
          <w:tcPr>
            <w:tcW w:w="1749" w:type="dxa"/>
            <w:shd w:val="clear" w:color="auto" w:fill="auto"/>
            <w:vAlign w:val="center"/>
          </w:tcPr>
          <w:p w14:paraId="27D5070F">
            <w:pPr>
              <w:jc w:val="right"/>
            </w:pPr>
          </w:p>
        </w:tc>
        <w:tc>
          <w:tcPr>
            <w:tcW w:w="1653" w:type="dxa"/>
            <w:vAlign w:val="center"/>
          </w:tcPr>
          <w:p w14:paraId="4A5B727E">
            <w:pPr>
              <w:jc w:val="right"/>
            </w:pPr>
          </w:p>
        </w:tc>
        <w:tc>
          <w:tcPr>
            <w:tcW w:w="1705" w:type="dxa"/>
            <w:vAlign w:val="center"/>
          </w:tcPr>
          <w:p w14:paraId="05A35AD3">
            <w:pPr>
              <w:jc w:val="right"/>
            </w:pPr>
          </w:p>
        </w:tc>
      </w:tr>
      <w:tr w14:paraId="2804B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43FA9E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343BBAF">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7D6FEA42">
            <w:pPr>
              <w:jc w:val="right"/>
            </w:pPr>
          </w:p>
        </w:tc>
        <w:tc>
          <w:tcPr>
            <w:tcW w:w="1749" w:type="dxa"/>
            <w:shd w:val="clear" w:color="auto" w:fill="auto"/>
            <w:vAlign w:val="center"/>
          </w:tcPr>
          <w:p w14:paraId="00A9D78C">
            <w:pPr>
              <w:jc w:val="right"/>
            </w:pPr>
          </w:p>
        </w:tc>
        <w:tc>
          <w:tcPr>
            <w:tcW w:w="1653" w:type="dxa"/>
            <w:vAlign w:val="center"/>
          </w:tcPr>
          <w:p w14:paraId="4AAD3BC4">
            <w:pPr>
              <w:jc w:val="right"/>
            </w:pPr>
          </w:p>
        </w:tc>
        <w:tc>
          <w:tcPr>
            <w:tcW w:w="1705" w:type="dxa"/>
            <w:vAlign w:val="center"/>
          </w:tcPr>
          <w:p w14:paraId="4BA4C9A3">
            <w:pPr>
              <w:jc w:val="right"/>
            </w:pPr>
          </w:p>
        </w:tc>
      </w:tr>
      <w:tr w14:paraId="14B8E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B5A848C">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34F48538">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4DA29858">
            <w:pPr>
              <w:jc w:val="right"/>
            </w:pPr>
            <w:r>
              <w:t>0.00</w:t>
            </w:r>
          </w:p>
        </w:tc>
        <w:tc>
          <w:tcPr>
            <w:tcW w:w="1749" w:type="dxa"/>
            <w:shd w:val="clear" w:color="auto" w:fill="auto"/>
            <w:vAlign w:val="center"/>
          </w:tcPr>
          <w:p w14:paraId="61676E4F">
            <w:pPr>
              <w:jc w:val="right"/>
            </w:pPr>
            <w:r>
              <w:t>0.00</w:t>
            </w:r>
          </w:p>
        </w:tc>
        <w:tc>
          <w:tcPr>
            <w:tcW w:w="1653" w:type="dxa"/>
            <w:vAlign w:val="center"/>
          </w:tcPr>
          <w:p w14:paraId="6CF01774">
            <w:pPr>
              <w:jc w:val="right"/>
            </w:pPr>
            <w:r>
              <w:t>0.00</w:t>
            </w:r>
          </w:p>
        </w:tc>
        <w:tc>
          <w:tcPr>
            <w:tcW w:w="1705" w:type="dxa"/>
            <w:vAlign w:val="center"/>
          </w:tcPr>
          <w:p w14:paraId="42A174CD">
            <w:pPr>
              <w:jc w:val="right"/>
            </w:pPr>
            <w:r>
              <w:t>0.00</w:t>
            </w:r>
          </w:p>
        </w:tc>
      </w:tr>
      <w:tr w14:paraId="47263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B6B244F">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35A5193">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5F461A79">
            <w:pPr>
              <w:jc w:val="right"/>
            </w:pPr>
          </w:p>
        </w:tc>
        <w:tc>
          <w:tcPr>
            <w:tcW w:w="1749" w:type="dxa"/>
            <w:shd w:val="clear" w:color="auto" w:fill="auto"/>
            <w:vAlign w:val="center"/>
          </w:tcPr>
          <w:p w14:paraId="5C2574C0">
            <w:pPr>
              <w:jc w:val="right"/>
            </w:pPr>
          </w:p>
        </w:tc>
        <w:tc>
          <w:tcPr>
            <w:tcW w:w="1653" w:type="dxa"/>
            <w:vAlign w:val="center"/>
          </w:tcPr>
          <w:p w14:paraId="17757FBF">
            <w:pPr>
              <w:jc w:val="right"/>
            </w:pPr>
          </w:p>
        </w:tc>
        <w:tc>
          <w:tcPr>
            <w:tcW w:w="1705" w:type="dxa"/>
            <w:vAlign w:val="center"/>
          </w:tcPr>
          <w:p w14:paraId="24CBA4A4">
            <w:pPr>
              <w:jc w:val="right"/>
            </w:pPr>
          </w:p>
        </w:tc>
      </w:tr>
      <w:tr w14:paraId="40FD7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2308000">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1F27E320">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26762663">
            <w:pPr>
              <w:jc w:val="right"/>
            </w:pPr>
            <w:r>
              <w:t>0.00</w:t>
            </w:r>
          </w:p>
        </w:tc>
        <w:tc>
          <w:tcPr>
            <w:tcW w:w="1749" w:type="dxa"/>
            <w:shd w:val="clear" w:color="auto" w:fill="auto"/>
            <w:vAlign w:val="center"/>
          </w:tcPr>
          <w:p w14:paraId="6B920217">
            <w:pPr>
              <w:jc w:val="right"/>
            </w:pPr>
            <w:r>
              <w:t>0.00</w:t>
            </w:r>
          </w:p>
        </w:tc>
        <w:tc>
          <w:tcPr>
            <w:tcW w:w="1653" w:type="dxa"/>
            <w:vAlign w:val="center"/>
          </w:tcPr>
          <w:p w14:paraId="74E6AC22">
            <w:pPr>
              <w:jc w:val="right"/>
            </w:pPr>
            <w:r>
              <w:t>0.00</w:t>
            </w:r>
          </w:p>
        </w:tc>
        <w:tc>
          <w:tcPr>
            <w:tcW w:w="1705" w:type="dxa"/>
            <w:vAlign w:val="center"/>
          </w:tcPr>
          <w:p w14:paraId="2874968E">
            <w:pPr>
              <w:jc w:val="right"/>
            </w:pPr>
            <w:r>
              <w:t>0.00</w:t>
            </w:r>
          </w:p>
        </w:tc>
      </w:tr>
      <w:tr w14:paraId="10006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0B68E9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F94CB41">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5BFD454F">
            <w:pPr>
              <w:jc w:val="right"/>
            </w:pPr>
            <w:r>
              <w:t>0.00</w:t>
            </w:r>
          </w:p>
        </w:tc>
        <w:tc>
          <w:tcPr>
            <w:tcW w:w="1749" w:type="dxa"/>
            <w:shd w:val="clear" w:color="auto" w:fill="auto"/>
            <w:vAlign w:val="center"/>
          </w:tcPr>
          <w:p w14:paraId="40512E68">
            <w:pPr>
              <w:jc w:val="right"/>
            </w:pPr>
            <w:r>
              <w:t>0.00</w:t>
            </w:r>
          </w:p>
        </w:tc>
        <w:tc>
          <w:tcPr>
            <w:tcW w:w="1653" w:type="dxa"/>
            <w:vAlign w:val="center"/>
          </w:tcPr>
          <w:p w14:paraId="44D10161">
            <w:pPr>
              <w:jc w:val="right"/>
            </w:pPr>
            <w:r>
              <w:t>0.00</w:t>
            </w:r>
          </w:p>
        </w:tc>
        <w:tc>
          <w:tcPr>
            <w:tcW w:w="1705" w:type="dxa"/>
            <w:vAlign w:val="center"/>
          </w:tcPr>
          <w:p w14:paraId="0B38DE63">
            <w:pPr>
              <w:jc w:val="right"/>
            </w:pPr>
            <w:r>
              <w:t>0.00</w:t>
            </w:r>
          </w:p>
        </w:tc>
      </w:tr>
      <w:tr w14:paraId="675F4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BB8AF60">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1E77603B">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1C265943">
            <w:pPr>
              <w:jc w:val="right"/>
            </w:pPr>
          </w:p>
        </w:tc>
        <w:tc>
          <w:tcPr>
            <w:tcW w:w="1749" w:type="dxa"/>
            <w:shd w:val="clear" w:color="auto" w:fill="auto"/>
            <w:vAlign w:val="center"/>
          </w:tcPr>
          <w:p w14:paraId="61B4DFCE">
            <w:pPr>
              <w:jc w:val="right"/>
            </w:pPr>
          </w:p>
        </w:tc>
        <w:tc>
          <w:tcPr>
            <w:tcW w:w="1653" w:type="dxa"/>
            <w:vAlign w:val="center"/>
          </w:tcPr>
          <w:p w14:paraId="11195B89">
            <w:pPr>
              <w:jc w:val="right"/>
            </w:pPr>
          </w:p>
        </w:tc>
        <w:tc>
          <w:tcPr>
            <w:tcW w:w="1705" w:type="dxa"/>
            <w:vAlign w:val="center"/>
          </w:tcPr>
          <w:p w14:paraId="4999B6F0">
            <w:pPr>
              <w:jc w:val="right"/>
            </w:pPr>
          </w:p>
        </w:tc>
      </w:tr>
      <w:tr w14:paraId="7ABE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1D5A5FA">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18D070BA">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297EE07E">
            <w:pPr>
              <w:jc w:val="right"/>
            </w:pPr>
            <w:r>
              <w:t>0.00</w:t>
            </w:r>
          </w:p>
        </w:tc>
        <w:tc>
          <w:tcPr>
            <w:tcW w:w="1749" w:type="dxa"/>
            <w:shd w:val="clear" w:color="auto" w:fill="auto"/>
            <w:vAlign w:val="center"/>
          </w:tcPr>
          <w:p w14:paraId="69ACB78B">
            <w:pPr>
              <w:jc w:val="right"/>
            </w:pPr>
            <w:r>
              <w:t>0.00</w:t>
            </w:r>
          </w:p>
        </w:tc>
        <w:tc>
          <w:tcPr>
            <w:tcW w:w="1653" w:type="dxa"/>
            <w:vAlign w:val="center"/>
          </w:tcPr>
          <w:p w14:paraId="7EFCA5FA">
            <w:pPr>
              <w:jc w:val="right"/>
            </w:pPr>
            <w:r>
              <w:t>41,302.93</w:t>
            </w:r>
          </w:p>
        </w:tc>
        <w:tc>
          <w:tcPr>
            <w:tcW w:w="1705" w:type="dxa"/>
            <w:vAlign w:val="center"/>
          </w:tcPr>
          <w:p w14:paraId="41AD1858">
            <w:pPr>
              <w:jc w:val="right"/>
            </w:pPr>
            <w:r>
              <w:t>0.41</w:t>
            </w:r>
          </w:p>
        </w:tc>
      </w:tr>
      <w:tr w14:paraId="57ED6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1863BD1">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7051B162">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4145B172">
            <w:pPr>
              <w:jc w:val="right"/>
            </w:pPr>
            <w:r>
              <w:t>0.00</w:t>
            </w:r>
          </w:p>
        </w:tc>
        <w:tc>
          <w:tcPr>
            <w:tcW w:w="1749" w:type="dxa"/>
            <w:shd w:val="clear" w:color="auto" w:fill="auto"/>
            <w:vAlign w:val="center"/>
          </w:tcPr>
          <w:p w14:paraId="5E29FC6F">
            <w:pPr>
              <w:jc w:val="right"/>
            </w:pPr>
            <w:r>
              <w:t>0.00</w:t>
            </w:r>
          </w:p>
        </w:tc>
        <w:tc>
          <w:tcPr>
            <w:tcW w:w="1653" w:type="dxa"/>
            <w:vAlign w:val="center"/>
          </w:tcPr>
          <w:p w14:paraId="378EFA4F">
            <w:pPr>
              <w:jc w:val="right"/>
            </w:pPr>
            <w:r>
              <w:t>0.00</w:t>
            </w:r>
          </w:p>
        </w:tc>
        <w:tc>
          <w:tcPr>
            <w:tcW w:w="1705" w:type="dxa"/>
            <w:vAlign w:val="center"/>
          </w:tcPr>
          <w:p w14:paraId="076C95A0">
            <w:pPr>
              <w:jc w:val="right"/>
            </w:pPr>
            <w:r>
              <w:t>0.00</w:t>
            </w:r>
          </w:p>
        </w:tc>
      </w:tr>
      <w:tr w14:paraId="3FE97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1FCECDD">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3A423751">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70880DE6">
            <w:pPr>
              <w:jc w:val="right"/>
            </w:pPr>
            <w:r>
              <w:t>10,140,138.41</w:t>
            </w:r>
          </w:p>
        </w:tc>
        <w:tc>
          <w:tcPr>
            <w:tcW w:w="1749" w:type="dxa"/>
            <w:shd w:val="clear" w:color="auto" w:fill="auto"/>
            <w:vAlign w:val="center"/>
          </w:tcPr>
          <w:p w14:paraId="5D43D4AE">
            <w:pPr>
              <w:jc w:val="right"/>
            </w:pPr>
            <w:r>
              <w:t>100.00</w:t>
            </w:r>
          </w:p>
        </w:tc>
        <w:tc>
          <w:tcPr>
            <w:tcW w:w="1653" w:type="dxa"/>
            <w:vAlign w:val="center"/>
          </w:tcPr>
          <w:p w14:paraId="40476DCC">
            <w:pPr>
              <w:jc w:val="right"/>
            </w:pPr>
            <w:r>
              <w:t>0.00</w:t>
            </w:r>
          </w:p>
        </w:tc>
        <w:tc>
          <w:tcPr>
            <w:tcW w:w="1705" w:type="dxa"/>
            <w:vAlign w:val="center"/>
          </w:tcPr>
          <w:p w14:paraId="0D076D21">
            <w:pPr>
              <w:jc w:val="right"/>
            </w:pPr>
            <w:r>
              <w:t>0.00</w:t>
            </w:r>
          </w:p>
        </w:tc>
      </w:tr>
      <w:tr w14:paraId="64C7C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719BBB4">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5D165AF0">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107FD754">
            <w:pPr>
              <w:jc w:val="right"/>
            </w:pPr>
            <w:r>
              <w:t>0.00</w:t>
            </w:r>
          </w:p>
        </w:tc>
        <w:tc>
          <w:tcPr>
            <w:tcW w:w="1749" w:type="dxa"/>
            <w:shd w:val="clear" w:color="auto" w:fill="auto"/>
            <w:vAlign w:val="center"/>
          </w:tcPr>
          <w:p w14:paraId="08429C56">
            <w:pPr>
              <w:jc w:val="right"/>
            </w:pPr>
            <w:r>
              <w:t>0.00</w:t>
            </w:r>
          </w:p>
        </w:tc>
        <w:tc>
          <w:tcPr>
            <w:tcW w:w="1653" w:type="dxa"/>
            <w:vAlign w:val="center"/>
          </w:tcPr>
          <w:p w14:paraId="452F5D7B">
            <w:pPr>
              <w:jc w:val="right"/>
            </w:pPr>
            <w:r>
              <w:t>160,814.75</w:t>
            </w:r>
          </w:p>
        </w:tc>
        <w:tc>
          <w:tcPr>
            <w:tcW w:w="1705" w:type="dxa"/>
            <w:vAlign w:val="center"/>
          </w:tcPr>
          <w:p w14:paraId="0131FD73">
            <w:pPr>
              <w:jc w:val="right"/>
            </w:pPr>
            <w:r>
              <w:t>1.59</w:t>
            </w:r>
          </w:p>
        </w:tc>
      </w:tr>
      <w:tr w14:paraId="66A72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07B7648C">
            <w:pPr>
              <w:jc w:val="left"/>
              <w:rPr>
                <w:rFonts w:ascii="宋体" w:hAnsi="宋体"/>
                <w:szCs w:val="21"/>
              </w:rPr>
            </w:pPr>
          </w:p>
        </w:tc>
        <w:tc>
          <w:tcPr>
            <w:tcW w:w="1447" w:type="dxa"/>
            <w:shd w:val="clear" w:color="auto" w:fill="auto"/>
          </w:tcPr>
          <w:p w14:paraId="0913725D">
            <w:pPr>
              <w:jc w:val="left"/>
              <w:rPr>
                <w:rFonts w:ascii="宋体" w:hAnsi="宋体"/>
                <w:szCs w:val="21"/>
              </w:rPr>
            </w:pPr>
            <w:r>
              <w:rPr>
                <w:rFonts w:hint="eastAsia" w:ascii="宋体" w:hAnsi="宋体"/>
                <w:szCs w:val="21"/>
              </w:rPr>
              <w:t>合计</w:t>
            </w:r>
          </w:p>
        </w:tc>
        <w:tc>
          <w:tcPr>
            <w:tcW w:w="1697" w:type="dxa"/>
            <w:shd w:val="clear" w:color="auto" w:fill="auto"/>
          </w:tcPr>
          <w:p w14:paraId="32315324">
            <w:pPr>
              <w:jc w:val="right"/>
            </w:pPr>
            <w:r>
              <w:t>10,140,138.41</w:t>
            </w:r>
          </w:p>
        </w:tc>
        <w:tc>
          <w:tcPr>
            <w:tcW w:w="1749" w:type="dxa"/>
            <w:shd w:val="clear" w:color="auto" w:fill="auto"/>
          </w:tcPr>
          <w:p w14:paraId="49751F1A">
            <w:pPr>
              <w:jc w:val="right"/>
            </w:pPr>
            <w:r>
              <w:t>100.00</w:t>
            </w:r>
          </w:p>
        </w:tc>
        <w:tc>
          <w:tcPr>
            <w:tcW w:w="1653" w:type="dxa"/>
          </w:tcPr>
          <w:p w14:paraId="112F5C7C">
            <w:pPr>
              <w:jc w:val="right"/>
            </w:pPr>
            <w:r>
              <w:t>10,810,258.87</w:t>
            </w:r>
          </w:p>
        </w:tc>
        <w:tc>
          <w:tcPr>
            <w:tcW w:w="1705" w:type="dxa"/>
          </w:tcPr>
          <w:p w14:paraId="3C65345D">
            <w:pPr>
              <w:jc w:val="right"/>
            </w:pPr>
            <w:r>
              <w:t>106.61</w:t>
            </w:r>
          </w:p>
        </w:tc>
      </w:tr>
    </w:tbl>
    <w:p w14:paraId="7F1E5D22">
      <w:pPr>
        <w:ind w:left="420" w:leftChars="200"/>
        <w:jc w:val="left"/>
        <w:rPr>
          <w:rFonts w:ascii="宋体" w:hAnsi="宋体"/>
          <w:sz w:val="24"/>
        </w:rPr>
      </w:pPr>
    </w:p>
    <w:p w14:paraId="29F09C1F">
      <w:pPr>
        <w:ind w:left="420" w:leftChars="200"/>
        <w:jc w:val="left"/>
        <w:rPr>
          <w:rFonts w:asciiTheme="minorEastAsia" w:hAnsiTheme="minorEastAsia" w:eastAsiaTheme="minorEastAsia"/>
          <w:sz w:val="24"/>
        </w:rPr>
      </w:pPr>
      <w:r>
        <w:rPr>
          <w:rFonts w:asciiTheme="minorEastAsia" w:hAnsiTheme="minorEastAsia" w:eastAsiaTheme="minorEastAsia"/>
          <w:szCs w:val="21"/>
        </w:rPr>
        <w:t>注1：间接投资占产品总资产的比例（%）为占本产品总资产的比例（%）。</w:t>
      </w:r>
    </w:p>
    <w:p w14:paraId="643CD369">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5F0833BE">
      <w:pPr>
        <w:jc w:val="left"/>
        <w:rPr>
          <w:rFonts w:asciiTheme="minorEastAsia" w:hAnsiTheme="minorEastAsia" w:eastAsiaTheme="minorEastAsia"/>
          <w:sz w:val="24"/>
        </w:rPr>
      </w:pPr>
      <w:r>
        <w:rPr>
          <w:rFonts w:hint="eastAsia" w:ascii="宋体" w:hAnsi="宋体"/>
          <w:sz w:val="24"/>
        </w:rPr>
        <w:t xml:space="preserve">   </w:t>
      </w:r>
      <w:r>
        <w:rPr>
          <w:rFonts w:hint="eastAsia" w:ascii="宋体" w:hAnsi="宋体" w:eastAsia="宋体"/>
          <w:szCs w:val="21"/>
        </w:rPr>
        <w:t>报告期内管理人合理安排资产结构，严格按照产品说明书约定的投资范围、比例等要求进行投资管理，流动性风险可控。</w:t>
      </w:r>
    </w:p>
    <w:p w14:paraId="03D9455F">
      <w:pPr>
        <w:widowControl/>
        <w:jc w:val="left"/>
        <w:rPr>
          <w:rFonts w:ascii="宋体" w:hAnsi="宋体"/>
          <w:sz w:val="24"/>
        </w:rPr>
      </w:pPr>
    </w:p>
    <w:p w14:paraId="5D5868F1">
      <w:pPr>
        <w:pStyle w:val="41"/>
        <w:spacing w:before="156" w:after="156"/>
        <w:rPr>
          <w:b w:val="0"/>
        </w:rPr>
      </w:pPr>
      <w:r>
        <w:rPr>
          <w:rFonts w:hint="eastAsia"/>
          <w:b w:val="0"/>
        </w:rPr>
        <w:t>报告期末占资产净值比例大小排序的前十项资产</w:t>
      </w:r>
      <w:r>
        <w:rPr>
          <w:b w:val="0"/>
        </w:rPr>
        <w:t>明细</w:t>
      </w:r>
    </w:p>
    <w:p w14:paraId="6D3C0B09">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016DB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48C04A14">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0CDF899F">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387385E3">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1A2861D4">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00E79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647CE8E9">
            <w:pPr>
              <w:jc w:val="center"/>
              <w:rPr>
                <w:szCs w:val="21"/>
              </w:rPr>
            </w:pPr>
            <w:r>
              <w:rPr>
                <w:szCs w:val="21"/>
              </w:rPr>
              <w:t>1</w:t>
            </w:r>
          </w:p>
        </w:tc>
        <w:tc>
          <w:tcPr>
            <w:tcW w:w="3159" w:type="dxa"/>
            <w:shd w:val="clear" w:color="auto" w:fill="auto"/>
            <w:vAlign w:val="center"/>
          </w:tcPr>
          <w:p w14:paraId="2B989925">
            <w:pPr>
              <w:rPr>
                <w:rFonts w:asciiTheme="majorEastAsia" w:hAnsiTheme="majorEastAsia" w:eastAsiaTheme="majorEastAsia"/>
                <w:szCs w:val="21"/>
              </w:rPr>
            </w:pPr>
            <w:r>
              <w:rPr>
                <w:rFonts w:asciiTheme="majorEastAsia" w:hAnsiTheme="majorEastAsia" w:eastAsiaTheme="majorEastAsia"/>
                <w:szCs w:val="21"/>
              </w:rPr>
              <w:t>中信证券丰收信益6号集合资产管理计划</w:t>
            </w:r>
          </w:p>
        </w:tc>
        <w:tc>
          <w:tcPr>
            <w:tcW w:w="2693" w:type="dxa"/>
            <w:shd w:val="clear" w:color="auto" w:fill="auto"/>
            <w:vAlign w:val="center"/>
          </w:tcPr>
          <w:p w14:paraId="55BA5329">
            <w:pPr>
              <w:jc w:val="right"/>
            </w:pPr>
            <w:r>
              <w:t>10,140,138.41</w:t>
            </w:r>
          </w:p>
        </w:tc>
        <w:tc>
          <w:tcPr>
            <w:tcW w:w="2431" w:type="dxa"/>
            <w:shd w:val="clear" w:color="auto" w:fill="auto"/>
            <w:vAlign w:val="center"/>
          </w:tcPr>
          <w:p w14:paraId="5B903DA4">
            <w:pPr>
              <w:jc w:val="right"/>
            </w:pPr>
            <w:bookmarkStart w:id="3" w:name="OLE_LINK6"/>
            <w:bookmarkEnd w:id="3"/>
            <w:bookmarkStart w:id="4" w:name="OLE_LINK5"/>
            <w:bookmarkEnd w:id="4"/>
            <w:r>
              <w:rPr>
                <w:rFonts w:hint="eastAsia"/>
              </w:rPr>
              <w:t>100.01</w:t>
            </w:r>
          </w:p>
        </w:tc>
      </w:tr>
    </w:tbl>
    <w:p w14:paraId="2CE04527">
      <w:pPr>
        <w:rPr>
          <w:rFonts w:ascii="宋体" w:hAnsi="宋体"/>
          <w:sz w:val="24"/>
        </w:rPr>
      </w:pPr>
      <w:r>
        <w:rPr>
          <w:rFonts w:hint="eastAsia" w:ascii="宋体" w:hAnsi="宋体"/>
          <w:sz w:val="24"/>
        </w:rPr>
        <w:t xml:space="preserve"> </w:t>
      </w:r>
    </w:p>
    <w:p w14:paraId="6874EF12">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6E119070">
      <w:pPr>
        <w:pStyle w:val="41"/>
        <w:spacing w:before="156" w:after="156"/>
        <w:rPr>
          <w:b w:val="0"/>
        </w:rPr>
      </w:pPr>
      <w:r>
        <w:rPr>
          <w:rFonts w:hint="eastAsia"/>
          <w:b w:val="0"/>
        </w:rPr>
        <w:t>报告期末占资产净值比例大小排序的前十项资产明细（穿透后）</w:t>
      </w:r>
    </w:p>
    <w:p w14:paraId="245A3D0D">
      <w:pPr>
        <w:spacing w:before="100" w:beforeAutospacing="1" w:after="100" w:afterAutospacing="1"/>
        <w:jc w:val="right"/>
      </w:pPr>
      <w:r>
        <w:rPr>
          <w:rFonts w:hint="eastAsia"/>
        </w:rPr>
        <w:t>金额单位：元</w:t>
      </w:r>
    </w:p>
    <w:tbl>
      <w:tblPr>
        <w:tblStyle w:val="17"/>
        <w:tblW w:w="9060" w:type="dxa"/>
        <w:jc w:val="center"/>
        <w:tblLayout w:type="autofit"/>
        <w:tblCellMar>
          <w:top w:w="0" w:type="dxa"/>
          <w:left w:w="0" w:type="dxa"/>
          <w:bottom w:w="0" w:type="dxa"/>
          <w:right w:w="0" w:type="dxa"/>
        </w:tblCellMar>
      </w:tblPr>
      <w:tblGrid>
        <w:gridCol w:w="777"/>
        <w:gridCol w:w="3159"/>
        <w:gridCol w:w="2693"/>
        <w:gridCol w:w="2431"/>
      </w:tblGrid>
      <w:tr w14:paraId="14A3116B">
        <w:tblPrEx>
          <w:tblCellMar>
            <w:top w:w="0" w:type="dxa"/>
            <w:left w:w="0" w:type="dxa"/>
            <w:bottom w:w="0" w:type="dxa"/>
            <w:right w:w="0" w:type="dxa"/>
          </w:tblCellMar>
        </w:tblPrEx>
        <w:trPr>
          <w:trHeight w:val="744" w:hRule="atLeast"/>
          <w:jc w:val="center"/>
        </w:trPr>
        <w:tc>
          <w:tcPr>
            <w:tcW w:w="77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14:paraId="5595B0FE">
            <w:pPr>
              <w:spacing w:before="100" w:beforeAutospacing="1" w:after="100" w:afterAutospacing="1"/>
              <w:jc w:val="center"/>
            </w:pPr>
            <w:r>
              <w:rPr>
                <w:rFonts w:hint="eastAsia"/>
                <w:b/>
                <w:bCs/>
              </w:rPr>
              <w:t>序号</w:t>
            </w:r>
          </w:p>
        </w:tc>
        <w:tc>
          <w:tcPr>
            <w:tcW w:w="3159"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14:paraId="7870DB83">
            <w:pPr>
              <w:spacing w:before="100" w:beforeAutospacing="1" w:after="100" w:afterAutospacing="1"/>
              <w:jc w:val="left"/>
            </w:pPr>
            <w:r>
              <w:rPr>
                <w:rFonts w:hint="eastAsia"/>
                <w:b/>
                <w:bCs/>
              </w:rPr>
              <w:t>资产名称</w:t>
            </w:r>
          </w:p>
        </w:tc>
        <w:tc>
          <w:tcPr>
            <w:tcW w:w="2693"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14:paraId="00F592D5">
            <w:pPr>
              <w:spacing w:before="100" w:beforeAutospacing="1" w:after="100" w:afterAutospacing="1"/>
            </w:pPr>
            <w:r>
              <w:rPr>
                <w:rFonts w:hint="eastAsia"/>
                <w:b/>
                <w:bCs/>
              </w:rPr>
              <w:t>金额</w:t>
            </w:r>
          </w:p>
        </w:tc>
        <w:tc>
          <w:tcPr>
            <w:tcW w:w="243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14:paraId="05FC2DF6">
            <w:pPr>
              <w:spacing w:before="100" w:beforeAutospacing="1" w:after="100" w:afterAutospacing="1"/>
              <w:rPr>
                <w:rFonts w:hint="eastAsia" w:eastAsia="宋体"/>
                <w:lang w:val="en-US" w:eastAsia="zh-CN"/>
              </w:rPr>
            </w:pPr>
            <w:r>
              <w:rPr>
                <w:rFonts w:hint="eastAsia"/>
                <w:b/>
                <w:bCs/>
                <w:lang w:val="en-US" w:eastAsia="zh-CN"/>
              </w:rPr>
              <w:t>占产品资产净值比例（%）</w:t>
            </w:r>
          </w:p>
        </w:tc>
      </w:tr>
      <w:tr w14:paraId="6722A92E">
        <w:tblPrEx>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14:paraId="2E05226E">
            <w:pPr>
              <w:spacing w:before="100" w:beforeAutospacing="1" w:after="100" w:afterAutospacing="1"/>
            </w:pPr>
            <w:r>
              <w:t>1</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14:paraId="4EE565C9">
            <w:pPr>
              <w:rPr>
                <w:rFonts w:asciiTheme="majorEastAsia" w:hAnsiTheme="majorEastAsia" w:eastAsiaTheme="majorEastAsia"/>
                <w:sz w:val="20"/>
              </w:rPr>
            </w:pPr>
            <w:r>
              <w:rPr>
                <w:rFonts w:asciiTheme="majorEastAsia" w:hAnsiTheme="majorEastAsia" w:eastAsiaTheme="majorEastAsia"/>
                <w:szCs w:val="21"/>
              </w:rPr>
              <w:t>23温州银行永续债02</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14:paraId="4894582D">
            <w:pPr>
              <w:jc w:val="right"/>
              <w:rPr>
                <w:rFonts w:eastAsia="Times New Roman"/>
                <w:sz w:val="20"/>
              </w:rPr>
            </w:pPr>
            <w:r>
              <w:rPr>
                <w:rFonts w:hint="eastAsia"/>
              </w:rPr>
              <w:t>249,185.46</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14:paraId="5895D9C7">
            <w:pPr>
              <w:jc w:val="right"/>
              <w:rPr>
                <w:rFonts w:eastAsia="Times New Roman"/>
                <w:sz w:val="20"/>
              </w:rPr>
            </w:pPr>
            <w:r>
              <w:rPr>
                <w:rFonts w:hint="eastAsia"/>
              </w:rPr>
              <w:t>2.46</w:t>
            </w:r>
          </w:p>
        </w:tc>
      </w:tr>
      <w:tr w14:paraId="6ED9FE0B">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76978379">
            <w:pPr>
              <w:spacing w:before="100" w:beforeAutospacing="1" w:after="100" w:afterAutospacing="1"/>
              <w:ind w:hanging="1"/>
              <w:jc w:val="left"/>
            </w:pPr>
            <w:r>
              <w:rPr>
                <w:b w:val="0"/>
                <w:i w:val="0"/>
                <w:strike w:val="0"/>
                <w:u w:val="none"/>
              </w:rPr>
              <w:t>2</w:t>
            </w:r>
          </w:p>
        </w:tc>
        <w:tc>
          <w:tcPr>
            <w:tcW w:w="3159" w:type="dxa"/>
            <w:tcBorders>
              <w:top w:val="nil"/>
              <w:left w:val="nil"/>
              <w:bottom w:val="single" w:color="auto" w:sz="8" w:space="0"/>
              <w:right w:val="single" w:color="auto" w:sz="8" w:space="0"/>
            </w:tcBorders>
            <w:shd w:val="clear" w:color="auto" w:fill="auto"/>
          </w:tcPr>
          <w:p w14:paraId="09BF359C">
            <w:pPr>
              <w:ind w:hanging="1"/>
              <w:jc w:val="left"/>
              <w:rPr>
                <w:rFonts w:asciiTheme="majorEastAsia" w:hAnsiTheme="majorEastAsia" w:eastAsiaTheme="majorEastAsia"/>
                <w:sz w:val="20"/>
              </w:rPr>
            </w:pPr>
            <w:r>
              <w:rPr>
                <w:b w:val="0"/>
                <w:i w:val="0"/>
                <w:strike w:val="0"/>
                <w:u w:val="none"/>
              </w:rPr>
              <w:t>土地01优</w:t>
            </w:r>
          </w:p>
        </w:tc>
        <w:tc>
          <w:tcPr>
            <w:tcW w:w="2693" w:type="dxa"/>
            <w:tcBorders>
              <w:top w:val="nil"/>
              <w:left w:val="nil"/>
              <w:bottom w:val="single" w:color="auto" w:sz="8" w:space="0"/>
              <w:right w:val="single" w:color="auto" w:sz="8" w:space="0"/>
            </w:tcBorders>
            <w:shd w:val="clear" w:color="auto" w:fill="auto"/>
          </w:tcPr>
          <w:p w14:paraId="16F33759">
            <w:pPr>
              <w:ind w:hanging="1"/>
              <w:jc w:val="right"/>
              <w:rPr>
                <w:rFonts w:eastAsia="Times New Roman"/>
                <w:sz w:val="20"/>
              </w:rPr>
            </w:pPr>
            <w:r>
              <w:rPr>
                <w:b w:val="0"/>
                <w:i w:val="0"/>
                <w:strike w:val="0"/>
                <w:u w:val="none"/>
              </w:rPr>
              <w:t>207,998.35</w:t>
            </w:r>
          </w:p>
        </w:tc>
        <w:tc>
          <w:tcPr>
            <w:tcW w:w="2431" w:type="dxa"/>
            <w:tcBorders>
              <w:top w:val="nil"/>
              <w:left w:val="nil"/>
              <w:bottom w:val="single" w:color="auto" w:sz="8" w:space="0"/>
              <w:right w:val="single" w:color="auto" w:sz="8" w:space="0"/>
            </w:tcBorders>
            <w:shd w:val="clear" w:color="auto" w:fill="auto"/>
          </w:tcPr>
          <w:p w14:paraId="3556C54D">
            <w:pPr>
              <w:ind w:hanging="1"/>
              <w:jc w:val="right"/>
              <w:rPr>
                <w:rFonts w:eastAsia="Times New Roman"/>
                <w:sz w:val="20"/>
              </w:rPr>
            </w:pPr>
            <w:r>
              <w:rPr>
                <w:b w:val="0"/>
                <w:i w:val="0"/>
                <w:strike w:val="0"/>
                <w:u w:val="none"/>
              </w:rPr>
              <w:t>2.05</w:t>
            </w:r>
          </w:p>
        </w:tc>
      </w:tr>
      <w:tr w14:paraId="43B16424">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48F4577A">
            <w:pPr>
              <w:spacing w:before="100" w:beforeAutospacing="1" w:after="100" w:afterAutospacing="1"/>
              <w:ind w:hanging="1"/>
              <w:jc w:val="left"/>
            </w:pPr>
            <w:r>
              <w:rPr>
                <w:b w:val="0"/>
                <w:i w:val="0"/>
                <w:strike w:val="0"/>
                <w:u w:val="none"/>
              </w:rPr>
              <w:t>3</w:t>
            </w:r>
          </w:p>
        </w:tc>
        <w:tc>
          <w:tcPr>
            <w:tcW w:w="3159" w:type="dxa"/>
            <w:tcBorders>
              <w:top w:val="nil"/>
              <w:left w:val="nil"/>
              <w:bottom w:val="single" w:color="auto" w:sz="8" w:space="0"/>
              <w:right w:val="single" w:color="auto" w:sz="8" w:space="0"/>
            </w:tcBorders>
            <w:shd w:val="clear" w:color="auto" w:fill="auto"/>
          </w:tcPr>
          <w:p w14:paraId="4B9C03FD">
            <w:pPr>
              <w:ind w:hanging="1"/>
              <w:jc w:val="left"/>
              <w:rPr>
                <w:rFonts w:asciiTheme="majorEastAsia" w:hAnsiTheme="majorEastAsia" w:eastAsiaTheme="majorEastAsia"/>
                <w:sz w:val="20"/>
              </w:rPr>
            </w:pPr>
            <w:r>
              <w:rPr>
                <w:b w:val="0"/>
                <w:i w:val="0"/>
                <w:strike w:val="0"/>
                <w:u w:val="none"/>
              </w:rPr>
              <w:t>23唐山银行永续债02</w:t>
            </w:r>
          </w:p>
        </w:tc>
        <w:tc>
          <w:tcPr>
            <w:tcW w:w="2693" w:type="dxa"/>
            <w:tcBorders>
              <w:top w:val="nil"/>
              <w:left w:val="nil"/>
              <w:bottom w:val="single" w:color="auto" w:sz="8" w:space="0"/>
              <w:right w:val="single" w:color="auto" w:sz="8" w:space="0"/>
            </w:tcBorders>
            <w:shd w:val="clear" w:color="auto" w:fill="auto"/>
          </w:tcPr>
          <w:p w14:paraId="7C6AE17B">
            <w:pPr>
              <w:ind w:hanging="1"/>
              <w:jc w:val="right"/>
              <w:rPr>
                <w:rFonts w:eastAsia="Times New Roman"/>
                <w:sz w:val="20"/>
              </w:rPr>
            </w:pPr>
            <w:r>
              <w:rPr>
                <w:b w:val="0"/>
                <w:i w:val="0"/>
                <w:strike w:val="0"/>
                <w:u w:val="none"/>
              </w:rPr>
              <w:t>192,449.39</w:t>
            </w:r>
          </w:p>
        </w:tc>
        <w:tc>
          <w:tcPr>
            <w:tcW w:w="2431" w:type="dxa"/>
            <w:tcBorders>
              <w:top w:val="nil"/>
              <w:left w:val="nil"/>
              <w:bottom w:val="single" w:color="auto" w:sz="8" w:space="0"/>
              <w:right w:val="single" w:color="auto" w:sz="8" w:space="0"/>
            </w:tcBorders>
            <w:shd w:val="clear" w:color="auto" w:fill="auto"/>
          </w:tcPr>
          <w:p w14:paraId="1762A686">
            <w:pPr>
              <w:ind w:hanging="1"/>
              <w:jc w:val="right"/>
              <w:rPr>
                <w:rFonts w:eastAsia="Times New Roman"/>
                <w:sz w:val="20"/>
              </w:rPr>
            </w:pPr>
            <w:r>
              <w:rPr>
                <w:b w:val="0"/>
                <w:i w:val="0"/>
                <w:strike w:val="0"/>
                <w:u w:val="none"/>
              </w:rPr>
              <w:t>1.90</w:t>
            </w:r>
          </w:p>
        </w:tc>
      </w:tr>
      <w:tr w14:paraId="0AF4379E">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27307402">
            <w:pPr>
              <w:spacing w:before="100" w:beforeAutospacing="1" w:after="100" w:afterAutospacing="1"/>
              <w:ind w:hanging="1"/>
              <w:jc w:val="left"/>
            </w:pPr>
            <w:r>
              <w:rPr>
                <w:b w:val="0"/>
                <w:i w:val="0"/>
                <w:strike w:val="0"/>
                <w:u w:val="none"/>
              </w:rPr>
              <w:t>4</w:t>
            </w:r>
          </w:p>
        </w:tc>
        <w:tc>
          <w:tcPr>
            <w:tcW w:w="3159" w:type="dxa"/>
            <w:tcBorders>
              <w:top w:val="nil"/>
              <w:left w:val="nil"/>
              <w:bottom w:val="single" w:color="auto" w:sz="8" w:space="0"/>
              <w:right w:val="single" w:color="auto" w:sz="8" w:space="0"/>
            </w:tcBorders>
            <w:shd w:val="clear" w:color="auto" w:fill="auto"/>
          </w:tcPr>
          <w:p w14:paraId="3AA0A12B">
            <w:pPr>
              <w:ind w:hanging="1"/>
              <w:jc w:val="left"/>
              <w:rPr>
                <w:rFonts w:asciiTheme="majorEastAsia" w:hAnsiTheme="majorEastAsia" w:eastAsiaTheme="majorEastAsia"/>
                <w:sz w:val="20"/>
              </w:rPr>
            </w:pPr>
            <w:r>
              <w:rPr>
                <w:b w:val="0"/>
                <w:i w:val="0"/>
                <w:strike w:val="0"/>
                <w:u w:val="none"/>
              </w:rPr>
              <w:t>21恒丰银行永续债</w:t>
            </w:r>
          </w:p>
        </w:tc>
        <w:tc>
          <w:tcPr>
            <w:tcW w:w="2693" w:type="dxa"/>
            <w:tcBorders>
              <w:top w:val="nil"/>
              <w:left w:val="nil"/>
              <w:bottom w:val="single" w:color="auto" w:sz="8" w:space="0"/>
              <w:right w:val="single" w:color="auto" w:sz="8" w:space="0"/>
            </w:tcBorders>
            <w:shd w:val="clear" w:color="auto" w:fill="auto"/>
          </w:tcPr>
          <w:p w14:paraId="74E37E88">
            <w:pPr>
              <w:ind w:hanging="1"/>
              <w:jc w:val="right"/>
              <w:rPr>
                <w:rFonts w:eastAsia="Times New Roman"/>
                <w:sz w:val="20"/>
              </w:rPr>
            </w:pPr>
            <w:r>
              <w:rPr>
                <w:b w:val="0"/>
                <w:i w:val="0"/>
                <w:strike w:val="0"/>
                <w:u w:val="none"/>
              </w:rPr>
              <w:t>184,276.47</w:t>
            </w:r>
          </w:p>
        </w:tc>
        <w:tc>
          <w:tcPr>
            <w:tcW w:w="2431" w:type="dxa"/>
            <w:tcBorders>
              <w:top w:val="nil"/>
              <w:left w:val="nil"/>
              <w:bottom w:val="single" w:color="auto" w:sz="8" w:space="0"/>
              <w:right w:val="single" w:color="auto" w:sz="8" w:space="0"/>
            </w:tcBorders>
            <w:shd w:val="clear" w:color="auto" w:fill="auto"/>
          </w:tcPr>
          <w:p w14:paraId="39D96200">
            <w:pPr>
              <w:ind w:hanging="1"/>
              <w:jc w:val="right"/>
              <w:rPr>
                <w:rFonts w:eastAsia="Times New Roman"/>
                <w:sz w:val="20"/>
              </w:rPr>
            </w:pPr>
            <w:r>
              <w:rPr>
                <w:b w:val="0"/>
                <w:i w:val="0"/>
                <w:strike w:val="0"/>
                <w:u w:val="none"/>
              </w:rPr>
              <w:t>1.82</w:t>
            </w:r>
          </w:p>
        </w:tc>
      </w:tr>
      <w:tr w14:paraId="319F695F">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4FDDFBD2">
            <w:pPr>
              <w:spacing w:before="100" w:beforeAutospacing="1" w:after="100" w:afterAutospacing="1"/>
              <w:ind w:hanging="1"/>
              <w:jc w:val="left"/>
            </w:pPr>
            <w:r>
              <w:rPr>
                <w:b w:val="0"/>
                <w:i w:val="0"/>
                <w:strike w:val="0"/>
                <w:u w:val="none"/>
              </w:rPr>
              <w:t>5</w:t>
            </w:r>
          </w:p>
        </w:tc>
        <w:tc>
          <w:tcPr>
            <w:tcW w:w="3159" w:type="dxa"/>
            <w:tcBorders>
              <w:top w:val="nil"/>
              <w:left w:val="nil"/>
              <w:bottom w:val="single" w:color="auto" w:sz="8" w:space="0"/>
              <w:right w:val="single" w:color="auto" w:sz="8" w:space="0"/>
            </w:tcBorders>
            <w:shd w:val="clear" w:color="auto" w:fill="auto"/>
          </w:tcPr>
          <w:p w14:paraId="546859EB">
            <w:pPr>
              <w:ind w:hanging="1"/>
              <w:jc w:val="left"/>
              <w:rPr>
                <w:rFonts w:asciiTheme="majorEastAsia" w:hAnsiTheme="majorEastAsia" w:eastAsiaTheme="majorEastAsia"/>
                <w:sz w:val="20"/>
              </w:rPr>
            </w:pPr>
            <w:r>
              <w:rPr>
                <w:b w:val="0"/>
                <w:i w:val="0"/>
                <w:strike w:val="0"/>
                <w:u w:val="none"/>
              </w:rPr>
              <w:t>21鄞州农商永续债01</w:t>
            </w:r>
          </w:p>
        </w:tc>
        <w:tc>
          <w:tcPr>
            <w:tcW w:w="2693" w:type="dxa"/>
            <w:tcBorders>
              <w:top w:val="nil"/>
              <w:left w:val="nil"/>
              <w:bottom w:val="single" w:color="auto" w:sz="8" w:space="0"/>
              <w:right w:val="single" w:color="auto" w:sz="8" w:space="0"/>
            </w:tcBorders>
            <w:shd w:val="clear" w:color="auto" w:fill="auto"/>
          </w:tcPr>
          <w:p w14:paraId="7D6A4612">
            <w:pPr>
              <w:ind w:hanging="1"/>
              <w:jc w:val="right"/>
              <w:rPr>
                <w:rFonts w:eastAsia="Times New Roman"/>
                <w:sz w:val="20"/>
              </w:rPr>
            </w:pPr>
            <w:r>
              <w:rPr>
                <w:b w:val="0"/>
                <w:i w:val="0"/>
                <w:strike w:val="0"/>
                <w:u w:val="none"/>
              </w:rPr>
              <w:t>183,080.02</w:t>
            </w:r>
          </w:p>
        </w:tc>
        <w:tc>
          <w:tcPr>
            <w:tcW w:w="2431" w:type="dxa"/>
            <w:tcBorders>
              <w:top w:val="nil"/>
              <w:left w:val="nil"/>
              <w:bottom w:val="single" w:color="auto" w:sz="8" w:space="0"/>
              <w:right w:val="single" w:color="auto" w:sz="8" w:space="0"/>
            </w:tcBorders>
            <w:shd w:val="clear" w:color="auto" w:fill="auto"/>
          </w:tcPr>
          <w:p w14:paraId="196BEBBD">
            <w:pPr>
              <w:ind w:hanging="1"/>
              <w:jc w:val="right"/>
              <w:rPr>
                <w:rFonts w:eastAsia="Times New Roman"/>
                <w:sz w:val="20"/>
              </w:rPr>
            </w:pPr>
            <w:r>
              <w:rPr>
                <w:b w:val="0"/>
                <w:i w:val="0"/>
                <w:strike w:val="0"/>
                <w:u w:val="none"/>
              </w:rPr>
              <w:t>1.81</w:t>
            </w:r>
          </w:p>
        </w:tc>
      </w:tr>
      <w:tr w14:paraId="11D8D9A1">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21FEBC0B">
            <w:pPr>
              <w:spacing w:before="100" w:beforeAutospacing="1" w:after="100" w:afterAutospacing="1"/>
              <w:ind w:hanging="1"/>
              <w:jc w:val="left"/>
            </w:pPr>
            <w:r>
              <w:rPr>
                <w:b w:val="0"/>
                <w:i w:val="0"/>
                <w:strike w:val="0"/>
                <w:u w:val="none"/>
              </w:rPr>
              <w:t>6</w:t>
            </w:r>
          </w:p>
        </w:tc>
        <w:tc>
          <w:tcPr>
            <w:tcW w:w="3159" w:type="dxa"/>
            <w:tcBorders>
              <w:top w:val="nil"/>
              <w:left w:val="nil"/>
              <w:bottom w:val="single" w:color="auto" w:sz="8" w:space="0"/>
              <w:right w:val="single" w:color="auto" w:sz="8" w:space="0"/>
            </w:tcBorders>
            <w:shd w:val="clear" w:color="auto" w:fill="auto"/>
          </w:tcPr>
          <w:p w14:paraId="54C93025">
            <w:pPr>
              <w:ind w:hanging="1"/>
              <w:jc w:val="left"/>
              <w:rPr>
                <w:rFonts w:asciiTheme="majorEastAsia" w:hAnsiTheme="majorEastAsia" w:eastAsiaTheme="majorEastAsia"/>
                <w:sz w:val="20"/>
              </w:rPr>
            </w:pPr>
            <w:r>
              <w:rPr>
                <w:b w:val="0"/>
                <w:i w:val="0"/>
                <w:strike w:val="0"/>
                <w:u w:val="none"/>
              </w:rPr>
              <w:t>22建工Y6</w:t>
            </w:r>
          </w:p>
        </w:tc>
        <w:tc>
          <w:tcPr>
            <w:tcW w:w="2693" w:type="dxa"/>
            <w:tcBorders>
              <w:top w:val="nil"/>
              <w:left w:val="nil"/>
              <w:bottom w:val="single" w:color="auto" w:sz="8" w:space="0"/>
              <w:right w:val="single" w:color="auto" w:sz="8" w:space="0"/>
            </w:tcBorders>
            <w:shd w:val="clear" w:color="auto" w:fill="auto"/>
          </w:tcPr>
          <w:p w14:paraId="49AF448C">
            <w:pPr>
              <w:ind w:hanging="1"/>
              <w:jc w:val="right"/>
              <w:rPr>
                <w:rFonts w:eastAsia="Times New Roman"/>
                <w:sz w:val="20"/>
              </w:rPr>
            </w:pPr>
            <w:r>
              <w:rPr>
                <w:b w:val="0"/>
                <w:i w:val="0"/>
                <w:strike w:val="0"/>
                <w:u w:val="none"/>
              </w:rPr>
              <w:t>181,019.76</w:t>
            </w:r>
          </w:p>
        </w:tc>
        <w:tc>
          <w:tcPr>
            <w:tcW w:w="2431" w:type="dxa"/>
            <w:tcBorders>
              <w:top w:val="nil"/>
              <w:left w:val="nil"/>
              <w:bottom w:val="single" w:color="auto" w:sz="8" w:space="0"/>
              <w:right w:val="single" w:color="auto" w:sz="8" w:space="0"/>
            </w:tcBorders>
            <w:shd w:val="clear" w:color="auto" w:fill="auto"/>
          </w:tcPr>
          <w:p w14:paraId="61674F65">
            <w:pPr>
              <w:ind w:hanging="1"/>
              <w:jc w:val="right"/>
              <w:rPr>
                <w:rFonts w:eastAsia="Times New Roman"/>
                <w:sz w:val="20"/>
              </w:rPr>
            </w:pPr>
            <w:r>
              <w:rPr>
                <w:b w:val="0"/>
                <w:i w:val="0"/>
                <w:strike w:val="0"/>
                <w:u w:val="none"/>
              </w:rPr>
              <w:t>1.79</w:t>
            </w:r>
          </w:p>
        </w:tc>
      </w:tr>
      <w:tr w14:paraId="0331202D">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017EDB6D">
            <w:pPr>
              <w:spacing w:before="100" w:beforeAutospacing="1" w:after="100" w:afterAutospacing="1"/>
              <w:ind w:hanging="1"/>
              <w:jc w:val="left"/>
            </w:pPr>
            <w:r>
              <w:rPr>
                <w:b w:val="0"/>
                <w:i w:val="0"/>
                <w:strike w:val="0"/>
                <w:u w:val="none"/>
              </w:rPr>
              <w:t>7</w:t>
            </w:r>
          </w:p>
        </w:tc>
        <w:tc>
          <w:tcPr>
            <w:tcW w:w="3159" w:type="dxa"/>
            <w:tcBorders>
              <w:top w:val="nil"/>
              <w:left w:val="nil"/>
              <w:bottom w:val="single" w:color="auto" w:sz="8" w:space="0"/>
              <w:right w:val="single" w:color="auto" w:sz="8" w:space="0"/>
            </w:tcBorders>
            <w:shd w:val="clear" w:color="auto" w:fill="auto"/>
          </w:tcPr>
          <w:p w14:paraId="16EBBF92">
            <w:pPr>
              <w:ind w:hanging="1"/>
              <w:jc w:val="left"/>
              <w:rPr>
                <w:rFonts w:asciiTheme="majorEastAsia" w:hAnsiTheme="majorEastAsia" w:eastAsiaTheme="majorEastAsia"/>
                <w:sz w:val="20"/>
              </w:rPr>
            </w:pPr>
            <w:r>
              <w:rPr>
                <w:b w:val="0"/>
                <w:i w:val="0"/>
                <w:strike w:val="0"/>
                <w:u w:val="none"/>
              </w:rPr>
              <w:t>20三峡银行永续债01</w:t>
            </w:r>
          </w:p>
        </w:tc>
        <w:tc>
          <w:tcPr>
            <w:tcW w:w="2693" w:type="dxa"/>
            <w:tcBorders>
              <w:top w:val="nil"/>
              <w:left w:val="nil"/>
              <w:bottom w:val="single" w:color="auto" w:sz="8" w:space="0"/>
              <w:right w:val="single" w:color="auto" w:sz="8" w:space="0"/>
            </w:tcBorders>
            <w:shd w:val="clear" w:color="auto" w:fill="auto"/>
          </w:tcPr>
          <w:p w14:paraId="1B378F19">
            <w:pPr>
              <w:ind w:hanging="1"/>
              <w:jc w:val="right"/>
              <w:rPr>
                <w:rFonts w:eastAsia="Times New Roman"/>
                <w:sz w:val="20"/>
              </w:rPr>
            </w:pPr>
            <w:r>
              <w:rPr>
                <w:b w:val="0"/>
                <w:i w:val="0"/>
                <w:strike w:val="0"/>
                <w:u w:val="none"/>
              </w:rPr>
              <w:t>179,784.56</w:t>
            </w:r>
          </w:p>
        </w:tc>
        <w:tc>
          <w:tcPr>
            <w:tcW w:w="2431" w:type="dxa"/>
            <w:tcBorders>
              <w:top w:val="nil"/>
              <w:left w:val="nil"/>
              <w:bottom w:val="single" w:color="auto" w:sz="8" w:space="0"/>
              <w:right w:val="single" w:color="auto" w:sz="8" w:space="0"/>
            </w:tcBorders>
            <w:shd w:val="clear" w:color="auto" w:fill="auto"/>
          </w:tcPr>
          <w:p w14:paraId="09ABD161">
            <w:pPr>
              <w:ind w:hanging="1"/>
              <w:jc w:val="right"/>
              <w:rPr>
                <w:rFonts w:eastAsia="Times New Roman"/>
                <w:sz w:val="20"/>
              </w:rPr>
            </w:pPr>
            <w:r>
              <w:rPr>
                <w:b w:val="0"/>
                <w:i w:val="0"/>
                <w:strike w:val="0"/>
                <w:u w:val="none"/>
              </w:rPr>
              <w:t>1.77</w:t>
            </w:r>
          </w:p>
        </w:tc>
      </w:tr>
      <w:tr w14:paraId="2338D451">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06DCDA70">
            <w:pPr>
              <w:spacing w:before="100" w:beforeAutospacing="1" w:after="100" w:afterAutospacing="1"/>
              <w:ind w:hanging="1"/>
              <w:jc w:val="left"/>
            </w:pPr>
            <w:r>
              <w:rPr>
                <w:b w:val="0"/>
                <w:i w:val="0"/>
                <w:strike w:val="0"/>
                <w:u w:val="none"/>
              </w:rPr>
              <w:t>8</w:t>
            </w:r>
          </w:p>
        </w:tc>
        <w:tc>
          <w:tcPr>
            <w:tcW w:w="3159" w:type="dxa"/>
            <w:tcBorders>
              <w:top w:val="nil"/>
              <w:left w:val="nil"/>
              <w:bottom w:val="single" w:color="auto" w:sz="8" w:space="0"/>
              <w:right w:val="single" w:color="auto" w:sz="8" w:space="0"/>
            </w:tcBorders>
            <w:shd w:val="clear" w:color="auto" w:fill="auto"/>
          </w:tcPr>
          <w:p w14:paraId="05E88C94">
            <w:pPr>
              <w:ind w:hanging="1"/>
              <w:jc w:val="left"/>
              <w:rPr>
                <w:rFonts w:asciiTheme="majorEastAsia" w:hAnsiTheme="majorEastAsia" w:eastAsiaTheme="majorEastAsia"/>
                <w:sz w:val="20"/>
              </w:rPr>
            </w:pPr>
            <w:r>
              <w:rPr>
                <w:b w:val="0"/>
                <w:i w:val="0"/>
                <w:strike w:val="0"/>
                <w:u w:val="none"/>
              </w:rPr>
              <w:t>24商城Y2</w:t>
            </w:r>
          </w:p>
        </w:tc>
        <w:tc>
          <w:tcPr>
            <w:tcW w:w="2693" w:type="dxa"/>
            <w:tcBorders>
              <w:top w:val="nil"/>
              <w:left w:val="nil"/>
              <w:bottom w:val="single" w:color="auto" w:sz="8" w:space="0"/>
              <w:right w:val="single" w:color="auto" w:sz="8" w:space="0"/>
            </w:tcBorders>
            <w:shd w:val="clear" w:color="auto" w:fill="auto"/>
          </w:tcPr>
          <w:p w14:paraId="32EF2E34">
            <w:pPr>
              <w:ind w:hanging="1"/>
              <w:jc w:val="right"/>
              <w:rPr>
                <w:rFonts w:eastAsia="Times New Roman"/>
                <w:sz w:val="20"/>
              </w:rPr>
            </w:pPr>
            <w:r>
              <w:rPr>
                <w:b w:val="0"/>
                <w:i w:val="0"/>
                <w:strike w:val="0"/>
                <w:u w:val="none"/>
              </w:rPr>
              <w:t>177,208.78</w:t>
            </w:r>
          </w:p>
        </w:tc>
        <w:tc>
          <w:tcPr>
            <w:tcW w:w="2431" w:type="dxa"/>
            <w:tcBorders>
              <w:top w:val="nil"/>
              <w:left w:val="nil"/>
              <w:bottom w:val="single" w:color="auto" w:sz="8" w:space="0"/>
              <w:right w:val="single" w:color="auto" w:sz="8" w:space="0"/>
            </w:tcBorders>
            <w:shd w:val="clear" w:color="auto" w:fill="auto"/>
          </w:tcPr>
          <w:p w14:paraId="76319345">
            <w:pPr>
              <w:ind w:hanging="1"/>
              <w:jc w:val="right"/>
              <w:rPr>
                <w:rFonts w:eastAsia="Times New Roman"/>
                <w:sz w:val="20"/>
              </w:rPr>
            </w:pPr>
            <w:r>
              <w:rPr>
                <w:b w:val="0"/>
                <w:i w:val="0"/>
                <w:strike w:val="0"/>
                <w:u w:val="none"/>
              </w:rPr>
              <w:t>1.75</w:t>
            </w:r>
          </w:p>
        </w:tc>
      </w:tr>
      <w:tr w14:paraId="600954F7">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29FB7E8E">
            <w:pPr>
              <w:spacing w:before="100" w:beforeAutospacing="1" w:after="100" w:afterAutospacing="1"/>
              <w:ind w:hanging="1"/>
              <w:jc w:val="left"/>
            </w:pPr>
            <w:r>
              <w:rPr>
                <w:b w:val="0"/>
                <w:i w:val="0"/>
                <w:strike w:val="0"/>
                <w:u w:val="none"/>
              </w:rPr>
              <w:t>9</w:t>
            </w:r>
          </w:p>
        </w:tc>
        <w:tc>
          <w:tcPr>
            <w:tcW w:w="3159" w:type="dxa"/>
            <w:tcBorders>
              <w:top w:val="nil"/>
              <w:left w:val="nil"/>
              <w:bottom w:val="single" w:color="auto" w:sz="8" w:space="0"/>
              <w:right w:val="single" w:color="auto" w:sz="8" w:space="0"/>
            </w:tcBorders>
            <w:shd w:val="clear" w:color="auto" w:fill="auto"/>
          </w:tcPr>
          <w:p w14:paraId="5C85C6CE">
            <w:pPr>
              <w:ind w:hanging="1"/>
              <w:jc w:val="left"/>
              <w:rPr>
                <w:rFonts w:asciiTheme="majorEastAsia" w:hAnsiTheme="majorEastAsia" w:eastAsiaTheme="majorEastAsia"/>
                <w:sz w:val="20"/>
              </w:rPr>
            </w:pPr>
            <w:r>
              <w:rPr>
                <w:b w:val="0"/>
                <w:i w:val="0"/>
                <w:strike w:val="0"/>
                <w:u w:val="none"/>
              </w:rPr>
              <w:t>24广信01</w:t>
            </w:r>
          </w:p>
        </w:tc>
        <w:tc>
          <w:tcPr>
            <w:tcW w:w="2693" w:type="dxa"/>
            <w:tcBorders>
              <w:top w:val="nil"/>
              <w:left w:val="nil"/>
              <w:bottom w:val="single" w:color="auto" w:sz="8" w:space="0"/>
              <w:right w:val="single" w:color="auto" w:sz="8" w:space="0"/>
            </w:tcBorders>
            <w:shd w:val="clear" w:color="auto" w:fill="auto"/>
          </w:tcPr>
          <w:p w14:paraId="0BD715E6">
            <w:pPr>
              <w:ind w:hanging="1"/>
              <w:jc w:val="right"/>
              <w:rPr>
                <w:rFonts w:eastAsia="Times New Roman"/>
                <w:sz w:val="20"/>
              </w:rPr>
            </w:pPr>
            <w:r>
              <w:rPr>
                <w:b w:val="0"/>
                <w:i w:val="0"/>
                <w:strike w:val="0"/>
                <w:u w:val="none"/>
              </w:rPr>
              <w:t>176,992.56</w:t>
            </w:r>
          </w:p>
        </w:tc>
        <w:tc>
          <w:tcPr>
            <w:tcW w:w="2431" w:type="dxa"/>
            <w:tcBorders>
              <w:top w:val="nil"/>
              <w:left w:val="nil"/>
              <w:bottom w:val="single" w:color="auto" w:sz="8" w:space="0"/>
              <w:right w:val="single" w:color="auto" w:sz="8" w:space="0"/>
            </w:tcBorders>
            <w:shd w:val="clear" w:color="auto" w:fill="auto"/>
          </w:tcPr>
          <w:p w14:paraId="6B006974">
            <w:pPr>
              <w:ind w:hanging="1"/>
              <w:jc w:val="right"/>
              <w:rPr>
                <w:rFonts w:eastAsia="Times New Roman"/>
                <w:sz w:val="20"/>
              </w:rPr>
            </w:pPr>
            <w:r>
              <w:rPr>
                <w:b w:val="0"/>
                <w:i w:val="0"/>
                <w:strike w:val="0"/>
                <w:u w:val="none"/>
              </w:rPr>
              <w:t>1.75</w:t>
            </w:r>
          </w:p>
        </w:tc>
      </w:tr>
      <w:tr w14:paraId="104626F6">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0427D23B">
            <w:pPr>
              <w:spacing w:before="100" w:beforeAutospacing="1" w:after="100" w:afterAutospacing="1"/>
              <w:ind w:hanging="1"/>
              <w:jc w:val="left"/>
            </w:pPr>
            <w:r>
              <w:rPr>
                <w:b w:val="0"/>
                <w:i w:val="0"/>
                <w:strike w:val="0"/>
                <w:u w:val="none"/>
              </w:rPr>
              <w:t>10</w:t>
            </w:r>
          </w:p>
        </w:tc>
        <w:tc>
          <w:tcPr>
            <w:tcW w:w="3159" w:type="dxa"/>
            <w:tcBorders>
              <w:top w:val="nil"/>
              <w:left w:val="nil"/>
              <w:bottom w:val="single" w:color="auto" w:sz="8" w:space="0"/>
              <w:right w:val="single" w:color="auto" w:sz="8" w:space="0"/>
            </w:tcBorders>
            <w:shd w:val="clear" w:color="auto" w:fill="auto"/>
          </w:tcPr>
          <w:p w14:paraId="3821CF69">
            <w:pPr>
              <w:ind w:hanging="1"/>
              <w:jc w:val="left"/>
              <w:rPr>
                <w:rFonts w:asciiTheme="majorEastAsia" w:hAnsiTheme="majorEastAsia" w:eastAsiaTheme="majorEastAsia"/>
                <w:sz w:val="20"/>
              </w:rPr>
            </w:pPr>
            <w:r>
              <w:rPr>
                <w:b w:val="0"/>
                <w:i w:val="0"/>
                <w:strike w:val="0"/>
                <w:u w:val="none"/>
              </w:rPr>
              <w:t>24四面01</w:t>
            </w:r>
          </w:p>
        </w:tc>
        <w:tc>
          <w:tcPr>
            <w:tcW w:w="2693" w:type="dxa"/>
            <w:tcBorders>
              <w:top w:val="nil"/>
              <w:left w:val="nil"/>
              <w:bottom w:val="single" w:color="auto" w:sz="8" w:space="0"/>
              <w:right w:val="single" w:color="auto" w:sz="8" w:space="0"/>
            </w:tcBorders>
            <w:shd w:val="clear" w:color="auto" w:fill="auto"/>
          </w:tcPr>
          <w:p w14:paraId="5063D996">
            <w:pPr>
              <w:ind w:hanging="1"/>
              <w:jc w:val="right"/>
              <w:rPr>
                <w:rFonts w:eastAsia="Times New Roman"/>
                <w:sz w:val="20"/>
              </w:rPr>
            </w:pPr>
            <w:r>
              <w:rPr>
                <w:b w:val="0"/>
                <w:i w:val="0"/>
                <w:strike w:val="0"/>
                <w:u w:val="none"/>
              </w:rPr>
              <w:t>176,714.09</w:t>
            </w:r>
          </w:p>
        </w:tc>
        <w:tc>
          <w:tcPr>
            <w:tcW w:w="2431" w:type="dxa"/>
            <w:tcBorders>
              <w:top w:val="nil"/>
              <w:left w:val="nil"/>
              <w:bottom w:val="single" w:color="auto" w:sz="8" w:space="0"/>
              <w:right w:val="single" w:color="auto" w:sz="8" w:space="0"/>
            </w:tcBorders>
            <w:shd w:val="clear" w:color="auto" w:fill="auto"/>
          </w:tcPr>
          <w:p w14:paraId="65C3BB79">
            <w:pPr>
              <w:ind w:hanging="1"/>
              <w:jc w:val="right"/>
              <w:rPr>
                <w:rFonts w:eastAsia="Times New Roman"/>
                <w:sz w:val="20"/>
              </w:rPr>
            </w:pPr>
            <w:r>
              <w:rPr>
                <w:b w:val="0"/>
                <w:i w:val="0"/>
                <w:strike w:val="0"/>
                <w:u w:val="none"/>
              </w:rPr>
              <w:t>1.74</w:t>
            </w:r>
          </w:p>
        </w:tc>
      </w:tr>
    </w:tbl>
    <w:p w14:paraId="39BE878F">
      <w:pPr>
        <w:spacing w:before="100" w:beforeAutospacing="1" w:after="100" w:afterAutospacing="1"/>
      </w:pPr>
      <w:r>
        <w:rPr>
          <w:rFonts w:hint="eastAsia"/>
        </w:rPr>
        <w:t>注：前十项资产明细仅包含证券投资、场外投资，不包含银行活期存款、存出保证金、清算备付金等资产。</w:t>
      </w:r>
    </w:p>
    <w:p w14:paraId="21FBD27A">
      <w:pPr>
        <w:pStyle w:val="40"/>
      </w:pPr>
      <w:r>
        <w:t>托管人报告</w:t>
      </w:r>
    </w:p>
    <w:p w14:paraId="69038566">
      <w:pPr>
        <w:spacing w:line="360" w:lineRule="auto"/>
        <w:ind w:right="-107" w:rightChars="-51"/>
        <w:jc w:val="left"/>
        <w:rPr>
          <w:rFonts w:hint="eastAsia" w:ascii="宋体" w:hAnsi="宋体"/>
          <w:szCs w:val="21"/>
        </w:rPr>
      </w:pPr>
      <w:r>
        <w:rPr>
          <w:rFonts w:hint="eastAsia" w:ascii="宋体" w:hAnsi="宋体"/>
          <w:szCs w:val="21"/>
        </w:rPr>
        <w:t>5.1、托管人履职情况</w:t>
      </w:r>
    </w:p>
    <w:p w14:paraId="01D4D33C">
      <w:pPr>
        <w:spacing w:line="360" w:lineRule="auto"/>
        <w:ind w:right="-107" w:rightChars="-51"/>
        <w:jc w:val="left"/>
        <w:rPr>
          <w:rFonts w:hint="eastAsia" w:ascii="宋体" w:hAnsi="宋体"/>
          <w:szCs w:val="21"/>
        </w:rPr>
      </w:pPr>
      <w:r>
        <w:rPr>
          <w:rFonts w:hint="eastAsia" w:ascii="宋体" w:hAnsi="宋体"/>
          <w:szCs w:val="21"/>
        </w:rPr>
        <w:t>（一）托管资产保管</w:t>
      </w:r>
    </w:p>
    <w:p w14:paraId="3D3C4885">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01FB298A">
      <w:pPr>
        <w:spacing w:line="360" w:lineRule="auto"/>
        <w:ind w:right="-107" w:rightChars="-51"/>
        <w:jc w:val="left"/>
        <w:rPr>
          <w:rFonts w:hint="eastAsia" w:ascii="宋体" w:hAnsi="宋体"/>
          <w:szCs w:val="21"/>
        </w:rPr>
      </w:pPr>
      <w:r>
        <w:rPr>
          <w:rFonts w:hint="eastAsia" w:ascii="宋体" w:hAnsi="宋体"/>
          <w:szCs w:val="21"/>
        </w:rPr>
        <w:t>（二）会计核算和估值</w:t>
      </w:r>
    </w:p>
    <w:p w14:paraId="660CB407">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6C73D451">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154F8B03">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485E781E">
      <w:pPr>
        <w:spacing w:line="360" w:lineRule="auto"/>
        <w:ind w:right="-107" w:rightChars="-51"/>
        <w:jc w:val="left"/>
        <w:rPr>
          <w:rFonts w:hint="eastAsia" w:ascii="宋体" w:hAnsi="宋体"/>
          <w:szCs w:val="21"/>
        </w:rPr>
      </w:pPr>
      <w:r>
        <w:rPr>
          <w:rFonts w:hint="eastAsia" w:ascii="宋体" w:hAnsi="宋体"/>
          <w:szCs w:val="21"/>
        </w:rPr>
        <w:t>（四）投资监督</w:t>
      </w:r>
    </w:p>
    <w:p w14:paraId="7A14AA96">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19362420">
      <w:pPr>
        <w:spacing w:line="360" w:lineRule="auto"/>
        <w:ind w:right="-107" w:rightChars="-51"/>
        <w:jc w:val="left"/>
        <w:rPr>
          <w:rFonts w:hint="eastAsia" w:ascii="宋体" w:hAnsi="宋体"/>
          <w:szCs w:val="21"/>
        </w:rPr>
      </w:pPr>
      <w:r>
        <w:rPr>
          <w:rFonts w:hint="eastAsia" w:ascii="宋体" w:hAnsi="宋体"/>
          <w:szCs w:val="21"/>
        </w:rPr>
        <w:t>5.2、托管人声明</w:t>
      </w:r>
    </w:p>
    <w:p w14:paraId="51C47D5B">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041DEE45">
      <w:pPr>
        <w:jc w:val="right"/>
        <w:rPr>
          <w:rFonts w:ascii="宋体" w:hAnsi="宋体"/>
          <w:sz w:val="24"/>
        </w:rPr>
      </w:pPr>
    </w:p>
    <w:p w14:paraId="698E1C4B">
      <w:pPr>
        <w:jc w:val="right"/>
        <w:rPr>
          <w:rFonts w:ascii="宋体" w:hAnsi="宋体"/>
          <w:sz w:val="28"/>
          <w:szCs w:val="28"/>
        </w:rPr>
      </w:pPr>
      <w:r>
        <w:rPr>
          <w:rFonts w:ascii="宋体" w:hAnsi="宋体"/>
          <w:sz w:val="28"/>
          <w:szCs w:val="28"/>
        </w:rPr>
        <w:t>浙江桐庐农村商业银行股份有限公司</w:t>
      </w:r>
    </w:p>
    <w:p w14:paraId="218F1611">
      <w:pPr>
        <w:jc w:val="right"/>
        <w:rPr>
          <w:rFonts w:ascii="宋体" w:hAnsi="宋体"/>
          <w:sz w:val="28"/>
          <w:szCs w:val="28"/>
        </w:rPr>
      </w:pPr>
      <w:r>
        <w:rPr>
          <w:rFonts w:ascii="宋体" w:hAnsi="宋体"/>
          <w:sz w:val="28"/>
          <w:szCs w:val="28"/>
        </w:rPr>
        <w:t>2025-04-15</w:t>
      </w:r>
      <w:r>
        <w:rPr>
          <w:rFonts w:hint="eastAsia" w:ascii="宋体" w:hAnsi="宋体"/>
          <w:sz w:val="28"/>
          <w:szCs w:val="28"/>
        </w:rPr>
        <w:t xml:space="preserve">   </w:t>
      </w:r>
      <w:bookmarkStart w:id="5" w:name="_GoBack"/>
      <w:bookmarkEnd w:id="5"/>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C2264E">
    <w:pPr>
      <w:pStyle w:val="10"/>
      <w:framePr w:wrap="around" w:vAnchor="text" w:hAnchor="margin" w:xAlign="right" w:y="1"/>
      <w:rPr>
        <w:rStyle w:val="20"/>
      </w:rPr>
    </w:pPr>
    <w:r>
      <w:rPr>
        <w:rStyle w:val="20"/>
        <w:rFonts w:hint="eastAsia"/>
      </w:rPr>
      <w:t xml:space="preserve"> </w:t>
    </w:r>
  </w:p>
  <w:p w14:paraId="308A6556">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B34C0">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066222D2">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5B57668"/>
    <w:rsid w:val="13D4665E"/>
    <w:rsid w:val="19B43F65"/>
    <w:rsid w:val="1DD13355"/>
    <w:rsid w:val="1F246194"/>
    <w:rsid w:val="30D863E3"/>
    <w:rsid w:val="35844C1F"/>
    <w:rsid w:val="378A66D0"/>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999</Words>
  <Characters>1447</Characters>
  <Lines>14</Lines>
  <Paragraphs>4</Paragraphs>
  <TotalTime>0</TotalTime>
  <ScaleCrop>false</ScaleCrop>
  <LinksUpToDate>false</LinksUpToDate>
  <CharactersWithSpaces>1484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叶淑珊</cp:lastModifiedBy>
  <cp:lastPrinted>2411-12-31T16:00:00Z</cp:lastPrinted>
  <dcterms:modified xsi:type="dcterms:W3CDTF">2025-04-18T00:25:03Z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D87577B2AB004D78AF4EDE32973003DC</vt:lpwstr>
  </property>
  <property fmtid="{D5CDD505-2E9C-101B-9397-08002B2CF9AE}" pid="6" name="KSOTemplateDocerSaveRecord">
    <vt:lpwstr>eyJoZGlkIjoiOWIxZTQ0Y2U3OTQ2NWY3NzMxNjc2MWQ1NzU0NTVlYmMiLCJ1c2VySWQiOiI0MTk3MDc1NTcifQ==</vt:lpwstr>
  </property>
</Properties>
</file>