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D603F9F">
      <w:pPr>
        <w:rPr>
          <w:sz w:val="48"/>
        </w:rPr>
      </w:pPr>
    </w:p>
    <w:p w14:paraId="4E83543E">
      <w:pPr>
        <w:rPr>
          <w:sz w:val="48"/>
        </w:rPr>
      </w:pPr>
    </w:p>
    <w:p w14:paraId="6E6A0505">
      <w:pPr>
        <w:jc w:val="center"/>
        <w:rPr>
          <w:rFonts w:ascii="宋体" w:hAnsi="宋体"/>
          <w:b/>
          <w:bCs/>
          <w:sz w:val="48"/>
          <w:szCs w:val="30"/>
        </w:rPr>
      </w:pPr>
      <w:r>
        <w:rPr>
          <w:rFonts w:ascii="宋体" w:hAnsi="宋体"/>
          <w:b/>
          <w:bCs/>
          <w:sz w:val="48"/>
          <w:szCs w:val="30"/>
        </w:rPr>
        <w:t>桐庐农商银行丰收信福封闭净值型2024年第34期理财产品</w:t>
      </w:r>
    </w:p>
    <w:p w14:paraId="5ACCA31F">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14:paraId="5FF96CC3">
      <w:pPr>
        <w:jc w:val="center"/>
        <w:rPr>
          <w:rFonts w:ascii="宋体" w:hAnsi="宋体"/>
          <w:b/>
          <w:bCs/>
          <w:sz w:val="28"/>
          <w:szCs w:val="30"/>
        </w:rPr>
      </w:pPr>
    </w:p>
    <w:p w14:paraId="131605CC">
      <w:pPr>
        <w:jc w:val="center"/>
        <w:rPr>
          <w:rFonts w:ascii="宋体" w:hAnsi="宋体"/>
          <w:sz w:val="28"/>
          <w:szCs w:val="30"/>
        </w:rPr>
      </w:pPr>
    </w:p>
    <w:p w14:paraId="43FA2831">
      <w:pPr>
        <w:jc w:val="center"/>
        <w:rPr>
          <w:rFonts w:ascii="宋体" w:hAnsi="宋体"/>
          <w:sz w:val="28"/>
          <w:szCs w:val="30"/>
        </w:rPr>
      </w:pPr>
    </w:p>
    <w:p w14:paraId="5E6A34DA">
      <w:pPr>
        <w:jc w:val="center"/>
        <w:rPr>
          <w:rFonts w:ascii="宋体" w:hAnsi="宋体"/>
          <w:sz w:val="28"/>
          <w:szCs w:val="30"/>
        </w:rPr>
      </w:pPr>
    </w:p>
    <w:p w14:paraId="02EED23F">
      <w:pPr>
        <w:jc w:val="center"/>
        <w:rPr>
          <w:rFonts w:ascii="宋体" w:hAnsi="宋体"/>
          <w:sz w:val="28"/>
          <w:szCs w:val="30"/>
        </w:rPr>
      </w:pPr>
    </w:p>
    <w:p w14:paraId="669BFD32">
      <w:pPr>
        <w:jc w:val="center"/>
        <w:rPr>
          <w:rFonts w:ascii="宋体" w:hAnsi="宋体"/>
          <w:sz w:val="28"/>
          <w:szCs w:val="30"/>
        </w:rPr>
      </w:pPr>
    </w:p>
    <w:p w14:paraId="791F72F5">
      <w:pPr>
        <w:jc w:val="center"/>
        <w:rPr>
          <w:rFonts w:ascii="宋体" w:hAnsi="宋体"/>
          <w:sz w:val="28"/>
          <w:szCs w:val="30"/>
        </w:rPr>
      </w:pPr>
    </w:p>
    <w:p w14:paraId="45867188">
      <w:pPr>
        <w:jc w:val="center"/>
        <w:rPr>
          <w:rFonts w:ascii="宋体" w:hAnsi="宋体"/>
          <w:sz w:val="28"/>
          <w:szCs w:val="30"/>
        </w:rPr>
      </w:pPr>
    </w:p>
    <w:p w14:paraId="1248AF81">
      <w:pPr>
        <w:jc w:val="center"/>
        <w:rPr>
          <w:rFonts w:ascii="宋体" w:hAnsi="宋体"/>
          <w:sz w:val="28"/>
          <w:szCs w:val="30"/>
        </w:rPr>
      </w:pPr>
    </w:p>
    <w:p w14:paraId="3FDF2C06">
      <w:pPr>
        <w:jc w:val="center"/>
        <w:rPr>
          <w:rFonts w:ascii="宋体" w:hAnsi="宋体"/>
          <w:sz w:val="28"/>
          <w:szCs w:val="30"/>
        </w:rPr>
      </w:pPr>
    </w:p>
    <w:p w14:paraId="07453545">
      <w:pPr>
        <w:jc w:val="center"/>
        <w:rPr>
          <w:rFonts w:ascii="宋体" w:hAnsi="宋体"/>
          <w:sz w:val="28"/>
          <w:szCs w:val="30"/>
        </w:rPr>
      </w:pPr>
    </w:p>
    <w:p w14:paraId="11FE8582">
      <w:pPr>
        <w:jc w:val="center"/>
        <w:rPr>
          <w:rFonts w:ascii="宋体" w:hAnsi="宋体"/>
          <w:sz w:val="28"/>
          <w:szCs w:val="30"/>
        </w:rPr>
      </w:pPr>
    </w:p>
    <w:p w14:paraId="5A068E97">
      <w:pPr>
        <w:ind w:firstLine="1687" w:firstLineChars="600"/>
        <w:jc w:val="left"/>
        <w:rPr>
          <w:rFonts w:ascii="宋体" w:hAnsi="宋体"/>
          <w:b/>
          <w:bCs/>
          <w:sz w:val="28"/>
          <w:szCs w:val="30"/>
        </w:rPr>
      </w:pPr>
      <w:r>
        <w:rPr>
          <w:rFonts w:ascii="宋体" w:hAnsi="宋体"/>
          <w:b/>
          <w:bCs/>
          <w:sz w:val="28"/>
          <w:szCs w:val="30"/>
        </w:rPr>
        <w:t>产品管理人：浙江桐庐农村商业银行股份有限公司</w:t>
      </w:r>
    </w:p>
    <w:p w14:paraId="77F9159C">
      <w:pPr>
        <w:ind w:firstLine="1687" w:firstLineChars="600"/>
        <w:jc w:val="left"/>
        <w:rPr>
          <w:rFonts w:ascii="宋体" w:hAnsi="宋体"/>
          <w:sz w:val="28"/>
          <w:szCs w:val="30"/>
        </w:rPr>
      </w:pPr>
      <w:r>
        <w:rPr>
          <w:rFonts w:ascii="宋体" w:hAnsi="宋体"/>
          <w:b/>
          <w:bCs/>
          <w:sz w:val="28"/>
          <w:szCs w:val="30"/>
        </w:rPr>
        <w:t>产品托管人：招商银行股份有限公司杭州分行</w:t>
      </w:r>
    </w:p>
    <w:p w14:paraId="68EE502B">
      <w:pPr>
        <w:ind w:firstLine="1680" w:firstLineChars="600"/>
        <w:jc w:val="left"/>
        <w:rPr>
          <w:rFonts w:ascii="宋体" w:hAnsi="宋体"/>
          <w:sz w:val="28"/>
          <w:szCs w:val="30"/>
        </w:rPr>
      </w:pPr>
    </w:p>
    <w:p w14:paraId="562BF027">
      <w:pPr>
        <w:ind w:firstLine="1680" w:firstLineChars="600"/>
        <w:jc w:val="left"/>
        <w:rPr>
          <w:rFonts w:ascii="宋体" w:hAnsi="宋体"/>
          <w:sz w:val="28"/>
          <w:szCs w:val="30"/>
        </w:rPr>
      </w:pPr>
    </w:p>
    <w:p w14:paraId="31155507">
      <w:pPr>
        <w:ind w:firstLine="1680" w:firstLineChars="600"/>
        <w:jc w:val="left"/>
        <w:rPr>
          <w:rFonts w:ascii="宋体" w:hAnsi="宋体"/>
          <w:sz w:val="28"/>
          <w:szCs w:val="30"/>
        </w:rPr>
      </w:pPr>
    </w:p>
    <w:p w14:paraId="2033D4D7">
      <w:pPr>
        <w:rPr>
          <w:rFonts w:ascii="宋体" w:hAnsi="宋体"/>
          <w:sz w:val="28"/>
          <w:szCs w:val="30"/>
        </w:rPr>
      </w:pPr>
    </w:p>
    <w:p w14:paraId="58013481">
      <w:pPr>
        <w:jc w:val="center"/>
        <w:rPr>
          <w:rFonts w:ascii="宋体" w:hAnsi="宋体"/>
          <w:b/>
          <w:bCs/>
          <w:sz w:val="28"/>
          <w:szCs w:val="30"/>
        </w:rPr>
      </w:pPr>
    </w:p>
    <w:p w14:paraId="13758304">
      <w:pPr>
        <w:jc w:val="center"/>
        <w:rPr>
          <w:rFonts w:ascii="宋体" w:hAnsi="宋体"/>
          <w:b/>
          <w:bCs/>
          <w:sz w:val="28"/>
          <w:szCs w:val="30"/>
        </w:rPr>
      </w:pPr>
      <w:r>
        <w:rPr>
          <w:rFonts w:hint="eastAsia" w:ascii="宋体" w:hAnsi="宋体"/>
          <w:b/>
          <w:bCs/>
          <w:sz w:val="28"/>
          <w:szCs w:val="30"/>
        </w:rPr>
        <w:t>重要提示</w:t>
      </w:r>
    </w:p>
    <w:p w14:paraId="4798E5BB">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A39072D">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B37A047">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30423A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14:paraId="5BF085AD">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5944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464773">
            <w:pPr>
              <w:jc w:val="left"/>
              <w:rPr>
                <w:rFonts w:ascii="宋体" w:hAnsi="宋体"/>
                <w:b/>
                <w:szCs w:val="21"/>
              </w:rPr>
            </w:pPr>
            <w:r>
              <w:rPr>
                <w:rFonts w:hint="eastAsia" w:ascii="宋体" w:hAnsi="宋体"/>
                <w:b/>
                <w:szCs w:val="21"/>
              </w:rPr>
              <w:t>项目</w:t>
            </w:r>
          </w:p>
        </w:tc>
        <w:tc>
          <w:tcPr>
            <w:tcW w:w="5027" w:type="dxa"/>
            <w:vAlign w:val="center"/>
          </w:tcPr>
          <w:p w14:paraId="09FF2891">
            <w:pPr>
              <w:jc w:val="left"/>
              <w:rPr>
                <w:rFonts w:ascii="宋体" w:hAnsi="宋体"/>
                <w:b/>
              </w:rPr>
            </w:pPr>
            <w:r>
              <w:rPr>
                <w:rFonts w:hint="eastAsia" w:ascii="宋体" w:hAnsi="宋体"/>
                <w:b/>
              </w:rPr>
              <w:t>信息</w:t>
            </w:r>
          </w:p>
        </w:tc>
      </w:tr>
      <w:tr w14:paraId="3B070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841B29">
            <w:pPr>
              <w:jc w:val="left"/>
              <w:rPr>
                <w:rFonts w:ascii="宋体" w:hAnsi="宋体"/>
              </w:rPr>
            </w:pPr>
            <w:r>
              <w:rPr>
                <w:rFonts w:hint="eastAsia" w:ascii="宋体" w:hAnsi="宋体"/>
                <w:szCs w:val="21"/>
              </w:rPr>
              <w:t>产品名称</w:t>
            </w:r>
          </w:p>
        </w:tc>
        <w:tc>
          <w:tcPr>
            <w:tcW w:w="5027" w:type="dxa"/>
            <w:vAlign w:val="center"/>
          </w:tcPr>
          <w:p w14:paraId="17C3ECCB">
            <w:pPr>
              <w:jc w:val="left"/>
              <w:rPr>
                <w:rFonts w:ascii="宋体" w:hAnsi="宋体"/>
              </w:rPr>
            </w:pPr>
            <w:r>
              <w:rPr>
                <w:rFonts w:hint="eastAsia" w:ascii="宋体" w:hAnsi="宋体"/>
              </w:rPr>
              <w:t>桐庐农商银行丰收信福封闭净值型2024年第34期理财产品</w:t>
            </w:r>
          </w:p>
        </w:tc>
      </w:tr>
      <w:tr w14:paraId="46A07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D7958B">
            <w:pPr>
              <w:rPr>
                <w:rFonts w:ascii="宋体" w:hAnsi="宋体"/>
              </w:rPr>
            </w:pPr>
            <w:r>
              <w:rPr>
                <w:rFonts w:hint="eastAsia" w:ascii="宋体" w:hAnsi="宋体"/>
                <w:szCs w:val="21"/>
              </w:rPr>
              <w:t>产品登记编码</w:t>
            </w:r>
          </w:p>
        </w:tc>
        <w:tc>
          <w:tcPr>
            <w:tcW w:w="5027" w:type="dxa"/>
            <w:vAlign w:val="center"/>
          </w:tcPr>
          <w:p w14:paraId="6F36EDDB">
            <w:pPr>
              <w:jc w:val="left"/>
              <w:rPr>
                <w:rFonts w:ascii="宋体" w:hAnsi="宋体"/>
              </w:rPr>
            </w:pPr>
            <w:r>
              <w:rPr>
                <w:rFonts w:ascii="宋体" w:hAnsi="宋体"/>
              </w:rPr>
              <w:t>C1123124000032</w:t>
            </w:r>
          </w:p>
        </w:tc>
      </w:tr>
      <w:tr w14:paraId="3A67B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FD561C">
            <w:pPr>
              <w:ind w:right="-107" w:rightChars="-51"/>
              <w:jc w:val="left"/>
              <w:rPr>
                <w:rFonts w:ascii="宋体" w:hAnsi="宋体"/>
              </w:rPr>
            </w:pPr>
            <w:r>
              <w:rPr>
                <w:rFonts w:hint="eastAsia" w:ascii="宋体" w:hAnsi="宋体"/>
                <w:szCs w:val="21"/>
              </w:rPr>
              <w:t>产品管理人</w:t>
            </w:r>
          </w:p>
        </w:tc>
        <w:tc>
          <w:tcPr>
            <w:tcW w:w="5027" w:type="dxa"/>
            <w:vAlign w:val="center"/>
          </w:tcPr>
          <w:p w14:paraId="087B7E1E">
            <w:pPr>
              <w:jc w:val="left"/>
              <w:rPr>
                <w:rFonts w:ascii="宋体" w:hAnsi="宋体"/>
              </w:rPr>
            </w:pPr>
            <w:r>
              <w:rPr>
                <w:rFonts w:hint="eastAsia" w:ascii="宋体" w:hAnsi="宋体"/>
              </w:rPr>
              <w:t>浙江桐庐农村商业银行股份有限公司</w:t>
            </w:r>
          </w:p>
        </w:tc>
      </w:tr>
      <w:tr w14:paraId="7031E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2B9071">
            <w:pPr>
              <w:jc w:val="left"/>
              <w:rPr>
                <w:rFonts w:ascii="宋体" w:hAnsi="宋体"/>
              </w:rPr>
            </w:pPr>
            <w:r>
              <w:rPr>
                <w:rFonts w:hint="eastAsia" w:ascii="宋体" w:hAnsi="宋体"/>
                <w:szCs w:val="21"/>
              </w:rPr>
              <w:t>产品托管人</w:t>
            </w:r>
          </w:p>
        </w:tc>
        <w:tc>
          <w:tcPr>
            <w:tcW w:w="5027" w:type="dxa"/>
            <w:vAlign w:val="center"/>
          </w:tcPr>
          <w:p w14:paraId="706D0A0A">
            <w:pPr>
              <w:jc w:val="left"/>
              <w:rPr>
                <w:rFonts w:ascii="宋体" w:hAnsi="宋体"/>
              </w:rPr>
            </w:pPr>
            <w:r>
              <w:rPr>
                <w:rFonts w:ascii="宋体" w:hAnsi="宋体"/>
              </w:rPr>
              <w:t>招商银行股份有限公司杭州分行</w:t>
            </w:r>
          </w:p>
        </w:tc>
      </w:tr>
      <w:tr w14:paraId="78A35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EF7955">
            <w:pPr>
              <w:jc w:val="left"/>
              <w:rPr>
                <w:rFonts w:ascii="宋体" w:hAnsi="宋体"/>
              </w:rPr>
            </w:pPr>
            <w:r>
              <w:rPr>
                <w:rFonts w:hint="eastAsia" w:ascii="宋体" w:hAnsi="宋体"/>
                <w:szCs w:val="21"/>
              </w:rPr>
              <w:t>产品运作方式</w:t>
            </w:r>
          </w:p>
        </w:tc>
        <w:tc>
          <w:tcPr>
            <w:tcW w:w="5027" w:type="dxa"/>
            <w:vAlign w:val="center"/>
          </w:tcPr>
          <w:p w14:paraId="6A7D5C1B">
            <w:pPr>
              <w:jc w:val="left"/>
              <w:rPr>
                <w:rFonts w:ascii="宋体" w:hAnsi="宋体"/>
              </w:rPr>
            </w:pPr>
            <w:r>
              <w:rPr>
                <w:rFonts w:ascii="宋体" w:hAnsi="宋体"/>
              </w:rPr>
              <w:t>公募封闭式净值型银行理财</w:t>
            </w:r>
          </w:p>
        </w:tc>
      </w:tr>
      <w:tr w14:paraId="5994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A9253B">
            <w:pPr>
              <w:jc w:val="left"/>
              <w:rPr>
                <w:rFonts w:ascii="宋体" w:hAnsi="宋体"/>
              </w:rPr>
            </w:pPr>
            <w:r>
              <w:rPr>
                <w:rFonts w:hint="eastAsia" w:ascii="宋体" w:hAnsi="宋体"/>
                <w:szCs w:val="21"/>
              </w:rPr>
              <w:t>产品成立日</w:t>
            </w:r>
          </w:p>
        </w:tc>
        <w:tc>
          <w:tcPr>
            <w:tcW w:w="5027" w:type="dxa"/>
            <w:vAlign w:val="center"/>
          </w:tcPr>
          <w:p w14:paraId="394EFBCA">
            <w:pPr>
              <w:jc w:val="left"/>
              <w:rPr>
                <w:rFonts w:ascii="宋体" w:hAnsi="宋体"/>
              </w:rPr>
            </w:pPr>
            <w:r>
              <w:rPr>
                <w:rFonts w:ascii="宋体" w:hAnsi="宋体"/>
              </w:rPr>
              <w:t>2024-09-26</w:t>
            </w:r>
          </w:p>
        </w:tc>
      </w:tr>
      <w:tr w14:paraId="7EFE7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65F26E">
            <w:pPr>
              <w:jc w:val="left"/>
              <w:rPr>
                <w:rFonts w:ascii="宋体" w:hAnsi="宋体"/>
                <w:szCs w:val="21"/>
              </w:rPr>
            </w:pPr>
            <w:r>
              <w:rPr>
                <w:rFonts w:hint="eastAsia" w:ascii="宋体" w:hAnsi="宋体"/>
                <w:szCs w:val="21"/>
              </w:rPr>
              <w:t>产品到期日</w:t>
            </w:r>
          </w:p>
        </w:tc>
        <w:tc>
          <w:tcPr>
            <w:tcW w:w="5027" w:type="dxa"/>
            <w:vAlign w:val="center"/>
          </w:tcPr>
          <w:p w14:paraId="42B5D7ED">
            <w:pPr>
              <w:jc w:val="left"/>
              <w:rPr>
                <w:rFonts w:ascii="宋体" w:hAnsi="宋体"/>
              </w:rPr>
            </w:pPr>
            <w:r>
              <w:rPr>
                <w:rFonts w:hint="eastAsia" w:ascii="宋体" w:hAnsi="宋体"/>
              </w:rPr>
              <w:t>2025-09-26</w:t>
            </w:r>
          </w:p>
        </w:tc>
      </w:tr>
      <w:tr w14:paraId="2B012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06A6465">
            <w:pPr>
              <w:rPr>
                <w:rFonts w:ascii="宋体" w:hAnsi="宋体"/>
                <w:szCs w:val="21"/>
              </w:rPr>
            </w:pPr>
            <w:r>
              <w:rPr>
                <w:rFonts w:hint="eastAsia" w:ascii="宋体" w:hAnsi="宋体"/>
                <w:szCs w:val="21"/>
              </w:rPr>
              <w:t>报告期末产品份额总额</w:t>
            </w:r>
          </w:p>
        </w:tc>
        <w:tc>
          <w:tcPr>
            <w:tcW w:w="5027" w:type="dxa"/>
            <w:vAlign w:val="center"/>
          </w:tcPr>
          <w:p w14:paraId="089E9E9F">
            <w:pPr>
              <w:jc w:val="left"/>
              <w:rPr>
                <w:rFonts w:ascii="宋体" w:hAnsi="宋体"/>
              </w:rPr>
            </w:pPr>
            <w:bookmarkStart w:id="0" w:name="OLE_LINK1"/>
            <w:r>
              <w:rPr>
                <w:rFonts w:hint="eastAsia" w:ascii="宋体" w:hAnsi="宋体"/>
              </w:rPr>
              <w:t>4,000,000.00</w:t>
            </w:r>
            <w:bookmarkEnd w:id="0"/>
          </w:p>
        </w:tc>
      </w:tr>
      <w:tr w14:paraId="14F81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8236A2">
            <w:pPr>
              <w:rPr>
                <w:rFonts w:ascii="宋体" w:hAnsi="宋体"/>
                <w:szCs w:val="21"/>
              </w:rPr>
            </w:pPr>
            <w:r>
              <w:rPr>
                <w:rFonts w:hint="eastAsia" w:ascii="宋体" w:hAnsi="宋体"/>
                <w:szCs w:val="21"/>
              </w:rPr>
              <w:t>业绩比较基准（如有）</w:t>
            </w:r>
          </w:p>
        </w:tc>
        <w:tc>
          <w:tcPr>
            <w:tcW w:w="5027" w:type="dxa"/>
            <w:vAlign w:val="center"/>
          </w:tcPr>
          <w:p w14:paraId="221A2921">
            <w:pPr>
              <w:jc w:val="left"/>
              <w:rPr>
                <w:rFonts w:ascii="宋体" w:hAnsi="宋体"/>
              </w:rPr>
            </w:pPr>
            <w:r>
              <w:rPr>
                <w:rFonts w:ascii="宋体" w:hAnsi="宋体"/>
              </w:rPr>
              <w:t>[2.3%-3.3%]/年</w:t>
            </w:r>
          </w:p>
        </w:tc>
      </w:tr>
      <w:tr w14:paraId="3FB3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A271EC">
            <w:pPr>
              <w:rPr>
                <w:rFonts w:ascii="宋体" w:hAnsi="宋体"/>
                <w:szCs w:val="21"/>
              </w:rPr>
            </w:pPr>
            <w:r>
              <w:rPr>
                <w:rFonts w:hint="eastAsia" w:ascii="宋体" w:hAnsi="宋体"/>
                <w:szCs w:val="21"/>
              </w:rPr>
              <w:t>估值方法</w:t>
            </w:r>
          </w:p>
        </w:tc>
        <w:tc>
          <w:tcPr>
            <w:tcW w:w="5027" w:type="dxa"/>
            <w:vAlign w:val="center"/>
          </w:tcPr>
          <w:p w14:paraId="4BBD8286">
            <w:pPr>
              <w:jc w:val="left"/>
              <w:rPr>
                <w:rFonts w:ascii="宋体" w:hAnsi="宋体"/>
              </w:rPr>
            </w:pPr>
            <w:r>
              <w:rPr>
                <w:rFonts w:ascii="宋体" w:hAnsi="宋体"/>
              </w:rPr>
              <w:t>市值法</w:t>
            </w:r>
          </w:p>
        </w:tc>
      </w:tr>
    </w:tbl>
    <w:p w14:paraId="6DD31529">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BC15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53CB54E">
            <w:pPr>
              <w:jc w:val="center"/>
              <w:rPr>
                <w:rFonts w:ascii="宋体" w:hAnsi="宋体"/>
                <w:b/>
              </w:rPr>
            </w:pPr>
            <w:r>
              <w:rPr>
                <w:rFonts w:hint="eastAsia"/>
                <w:b/>
              </w:rPr>
              <w:t>阶段</w:t>
            </w:r>
          </w:p>
        </w:tc>
        <w:tc>
          <w:tcPr>
            <w:tcW w:w="5103" w:type="dxa"/>
            <w:shd w:val="clear" w:color="auto" w:fill="D9D9D9"/>
            <w:vAlign w:val="center"/>
          </w:tcPr>
          <w:p w14:paraId="3E1FDCB2">
            <w:pPr>
              <w:jc w:val="center"/>
              <w:rPr>
                <w:rFonts w:ascii="宋体" w:hAnsi="宋体"/>
                <w:b/>
              </w:rPr>
            </w:pPr>
            <w:r>
              <w:rPr>
                <w:b/>
              </w:rPr>
              <w:t>净值增长率</w:t>
            </w:r>
            <w:r>
              <w:rPr>
                <w:rFonts w:hint="eastAsia"/>
                <w:b/>
              </w:rPr>
              <w:t>（%）</w:t>
            </w:r>
          </w:p>
        </w:tc>
      </w:tr>
      <w:tr w14:paraId="44DFB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A09B481">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14:paraId="74927F23">
            <w:pPr>
              <w:jc w:val="right"/>
            </w:pPr>
            <w:r>
              <w:t>0.27</w:t>
            </w:r>
          </w:p>
        </w:tc>
      </w:tr>
      <w:tr w14:paraId="5A671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9CB771B">
            <w:pPr>
              <w:jc w:val="center"/>
              <w:rPr>
                <w:rFonts w:ascii="宋体" w:hAnsi="宋体"/>
              </w:rPr>
            </w:pPr>
            <w:r>
              <w:rPr>
                <w:rFonts w:hint="eastAsia" w:ascii="宋体" w:hAnsi="宋体"/>
              </w:rPr>
              <w:t>自产品成立日至今</w:t>
            </w:r>
          </w:p>
        </w:tc>
        <w:tc>
          <w:tcPr>
            <w:tcW w:w="5103" w:type="dxa"/>
            <w:vAlign w:val="center"/>
          </w:tcPr>
          <w:p w14:paraId="1BBF76CF">
            <w:pPr>
              <w:jc w:val="right"/>
            </w:pPr>
            <w:r>
              <w:t>1.47</w:t>
            </w:r>
            <w:bookmarkStart w:id="1" w:name="OLE_LINK7"/>
            <w:bookmarkEnd w:id="1"/>
            <w:bookmarkStart w:id="2" w:name="OLE_LINK4"/>
            <w:bookmarkEnd w:id="2"/>
          </w:p>
        </w:tc>
      </w:tr>
    </w:tbl>
    <w:p w14:paraId="5D4A6064">
      <w:pPr>
        <w:spacing w:line="360" w:lineRule="auto"/>
        <w:ind w:left="420" w:leftChars="200"/>
        <w:jc w:val="left"/>
        <w:rPr>
          <w:rFonts w:ascii="宋体" w:hAnsi="宋体"/>
          <w:sz w:val="24"/>
        </w:rPr>
      </w:pPr>
      <w:r>
        <w:rPr>
          <w:rFonts w:ascii="宋体" w:hAnsi="宋体"/>
          <w:sz w:val="24"/>
        </w:rPr>
        <w:t xml:space="preserve"> </w:t>
      </w:r>
    </w:p>
    <w:p w14:paraId="0233B6CD">
      <w:pPr>
        <w:pStyle w:val="40"/>
      </w:pPr>
      <w:r>
        <w:rPr>
          <w:rFonts w:hint="eastAsia"/>
        </w:rPr>
        <w:t>主要财务指标</w:t>
      </w:r>
    </w:p>
    <w:p w14:paraId="76625C81">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CD6A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740ACC6">
            <w:pPr>
              <w:jc w:val="left"/>
              <w:rPr>
                <w:rFonts w:ascii="宋体" w:hAnsi="宋体"/>
                <w:b/>
              </w:rPr>
            </w:pPr>
            <w:r>
              <w:rPr>
                <w:rFonts w:hint="eastAsia"/>
                <w:b/>
                <w:bCs/>
              </w:rPr>
              <w:t>项目</w:t>
            </w:r>
          </w:p>
        </w:tc>
        <w:tc>
          <w:tcPr>
            <w:tcW w:w="5027" w:type="dxa"/>
            <w:shd w:val="clear" w:color="auto" w:fill="D9D9D9"/>
            <w:vAlign w:val="center"/>
          </w:tcPr>
          <w:p w14:paraId="7DB1EC6B">
            <w:pPr>
              <w:jc w:val="left"/>
              <w:rPr>
                <w:b/>
              </w:rPr>
            </w:pPr>
            <w:r>
              <w:rPr>
                <w:b/>
              </w:rPr>
              <w:t>2025-01-01</w:t>
            </w:r>
            <w:r>
              <w:rPr>
                <w:rFonts w:hint="eastAsia"/>
                <w:b/>
              </w:rPr>
              <w:t xml:space="preserve">至 </w:t>
            </w:r>
            <w:r>
              <w:rPr>
                <w:b/>
              </w:rPr>
              <w:t>2025-03-31</w:t>
            </w:r>
          </w:p>
        </w:tc>
      </w:tr>
      <w:tr w14:paraId="75925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A48F64E">
            <w:pPr>
              <w:rPr>
                <w:rFonts w:ascii="宋体" w:hAnsi="宋体"/>
              </w:rPr>
            </w:pPr>
            <w:r>
              <w:rPr>
                <w:rFonts w:hint="eastAsia" w:ascii="宋体" w:hAnsi="宋体"/>
                <w:szCs w:val="21"/>
              </w:rPr>
              <w:t>本期已实现收益</w:t>
            </w:r>
          </w:p>
        </w:tc>
        <w:tc>
          <w:tcPr>
            <w:tcW w:w="5027" w:type="dxa"/>
            <w:vAlign w:val="center"/>
          </w:tcPr>
          <w:p w14:paraId="5A6B9D7B">
            <w:pPr>
              <w:jc w:val="right"/>
            </w:pPr>
            <w:r>
              <w:t>-149.87</w:t>
            </w:r>
          </w:p>
        </w:tc>
      </w:tr>
      <w:tr w14:paraId="7A51D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5DD2AC1">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14:paraId="2B471D2F">
            <w:pPr>
              <w:ind w:hanging="1"/>
              <w:jc w:val="right"/>
            </w:pPr>
            <w:r>
              <w:rPr>
                <w:b w:val="0"/>
                <w:i w:val="0"/>
                <w:strike w:val="0"/>
                <w:u w:val="none"/>
              </w:rPr>
              <w:t>10,941.31</w:t>
            </w:r>
          </w:p>
        </w:tc>
      </w:tr>
      <w:tr w14:paraId="71958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9798D43">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14:paraId="62975FC6">
            <w:pPr>
              <w:ind w:hanging="1"/>
              <w:jc w:val="right"/>
            </w:pPr>
            <w:r>
              <w:rPr>
                <w:b w:val="0"/>
                <w:i w:val="0"/>
                <w:strike w:val="0"/>
                <w:u w:val="none"/>
              </w:rPr>
              <w:t>4,058,736.31</w:t>
            </w:r>
          </w:p>
        </w:tc>
      </w:tr>
      <w:tr w14:paraId="4DDB8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4AFD88B">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14:paraId="63A82603">
            <w:pPr>
              <w:ind w:hanging="1"/>
              <w:jc w:val="right"/>
            </w:pPr>
            <w:r>
              <w:rPr>
                <w:b w:val="0"/>
                <w:i w:val="0"/>
                <w:strike w:val="0"/>
                <w:u w:val="none"/>
              </w:rPr>
              <w:t>1.01468407</w:t>
            </w:r>
          </w:p>
        </w:tc>
      </w:tr>
    </w:tbl>
    <w:p w14:paraId="3FC3F0DC">
      <w:pPr>
        <w:tabs>
          <w:tab w:val="left" w:pos="3135"/>
        </w:tabs>
        <w:ind w:left="420" w:leftChars="200"/>
      </w:pPr>
    </w:p>
    <w:p w14:paraId="1E4C98FB">
      <w:pPr>
        <w:pStyle w:val="40"/>
      </w:pPr>
      <w:r>
        <w:rPr>
          <w:rFonts w:hint="eastAsia"/>
        </w:rPr>
        <w:t>投资组合情况及</w:t>
      </w:r>
      <w:r>
        <w:t>流动性风险分析</w:t>
      </w:r>
    </w:p>
    <w:p w14:paraId="1611AAC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14B38C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34E7E3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EAA151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6DA3AD6">
      <w:pPr>
        <w:pStyle w:val="41"/>
        <w:spacing w:before="156" w:after="156"/>
      </w:pPr>
      <w:r>
        <w:rPr>
          <w:rFonts w:hint="eastAsia"/>
          <w:b w:val="0"/>
        </w:rPr>
        <w:t>期末资产组合情况</w:t>
      </w:r>
    </w:p>
    <w:p w14:paraId="4F8F842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78F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CFA07AD">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B34EB16">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5B4F176F">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1A8940B">
            <w:pPr>
              <w:jc w:val="center"/>
              <w:rPr>
                <w:rFonts w:ascii="宋体" w:hAnsi="宋体"/>
                <w:b/>
                <w:szCs w:val="21"/>
              </w:rPr>
            </w:pPr>
            <w:r>
              <w:rPr>
                <w:rFonts w:hint="eastAsia" w:ascii="宋体" w:hAnsi="宋体"/>
                <w:b/>
                <w:szCs w:val="21"/>
              </w:rPr>
              <w:t>间接</w:t>
            </w:r>
            <w:r>
              <w:rPr>
                <w:rFonts w:ascii="宋体" w:hAnsi="宋体"/>
                <w:b/>
                <w:szCs w:val="21"/>
              </w:rPr>
              <w:t>投资</w:t>
            </w:r>
          </w:p>
        </w:tc>
      </w:tr>
      <w:tr w14:paraId="5198E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4CB91A3">
            <w:pPr>
              <w:jc w:val="center"/>
              <w:rPr>
                <w:rFonts w:ascii="宋体" w:hAnsi="宋体"/>
                <w:b/>
                <w:szCs w:val="21"/>
              </w:rPr>
            </w:pPr>
          </w:p>
        </w:tc>
        <w:tc>
          <w:tcPr>
            <w:tcW w:w="1447" w:type="dxa"/>
            <w:vMerge w:val="continue"/>
            <w:shd w:val="clear" w:color="auto" w:fill="D9D9D9"/>
            <w:vAlign w:val="center"/>
          </w:tcPr>
          <w:p w14:paraId="1840C337">
            <w:pPr>
              <w:jc w:val="center"/>
              <w:rPr>
                <w:rFonts w:ascii="宋体" w:hAnsi="宋体"/>
                <w:b/>
                <w:szCs w:val="21"/>
              </w:rPr>
            </w:pPr>
          </w:p>
        </w:tc>
        <w:tc>
          <w:tcPr>
            <w:tcW w:w="1697" w:type="dxa"/>
            <w:shd w:val="clear" w:color="auto" w:fill="D9D9D9"/>
            <w:vAlign w:val="center"/>
          </w:tcPr>
          <w:p w14:paraId="3BA1F48D">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7A02179">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3119C417">
            <w:pPr>
              <w:jc w:val="center"/>
              <w:rPr>
                <w:rFonts w:ascii="宋体" w:hAnsi="宋体"/>
                <w:b/>
                <w:szCs w:val="21"/>
              </w:rPr>
            </w:pPr>
            <w:r>
              <w:rPr>
                <w:rFonts w:hint="eastAsia" w:ascii="宋体" w:hAnsi="宋体"/>
                <w:b/>
                <w:szCs w:val="21"/>
              </w:rPr>
              <w:t>金额</w:t>
            </w:r>
          </w:p>
        </w:tc>
        <w:tc>
          <w:tcPr>
            <w:tcW w:w="1705" w:type="dxa"/>
            <w:shd w:val="clear" w:color="auto" w:fill="D9D9D9"/>
          </w:tcPr>
          <w:p w14:paraId="2D04271D">
            <w:pPr>
              <w:jc w:val="center"/>
              <w:rPr>
                <w:rFonts w:ascii="宋体" w:hAnsi="宋体"/>
                <w:b/>
                <w:szCs w:val="21"/>
              </w:rPr>
            </w:pPr>
            <w:r>
              <w:rPr>
                <w:rFonts w:hint="eastAsia" w:ascii="宋体" w:hAnsi="宋体"/>
                <w:b/>
                <w:szCs w:val="21"/>
              </w:rPr>
              <w:t>占产品总资产的比例（%）</w:t>
            </w:r>
          </w:p>
        </w:tc>
      </w:tr>
      <w:tr w14:paraId="4F507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467EE3C">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B217455">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8138699">
            <w:pPr>
              <w:jc w:val="right"/>
            </w:pPr>
            <w:r>
              <w:t>0.00</w:t>
            </w:r>
          </w:p>
        </w:tc>
        <w:tc>
          <w:tcPr>
            <w:tcW w:w="1749" w:type="dxa"/>
            <w:shd w:val="clear" w:color="auto" w:fill="auto"/>
            <w:vAlign w:val="center"/>
          </w:tcPr>
          <w:p w14:paraId="7B38D181">
            <w:pPr>
              <w:jc w:val="right"/>
            </w:pPr>
            <w:r>
              <w:t>0.00</w:t>
            </w:r>
          </w:p>
        </w:tc>
        <w:tc>
          <w:tcPr>
            <w:tcW w:w="1653" w:type="dxa"/>
            <w:vAlign w:val="center"/>
          </w:tcPr>
          <w:p w14:paraId="6C3AF784">
            <w:pPr>
              <w:jc w:val="right"/>
            </w:pPr>
            <w:r>
              <w:t>0.00</w:t>
            </w:r>
          </w:p>
        </w:tc>
        <w:tc>
          <w:tcPr>
            <w:tcW w:w="1705" w:type="dxa"/>
            <w:vAlign w:val="center"/>
          </w:tcPr>
          <w:p w14:paraId="2FED46A4">
            <w:pPr>
              <w:jc w:val="right"/>
            </w:pPr>
            <w:r>
              <w:t>0.00</w:t>
            </w:r>
          </w:p>
        </w:tc>
      </w:tr>
      <w:tr w14:paraId="165DC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3F8E4E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A750F97">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1B0B891">
            <w:pPr>
              <w:jc w:val="right"/>
            </w:pPr>
            <w:r>
              <w:t>0.00</w:t>
            </w:r>
          </w:p>
        </w:tc>
        <w:tc>
          <w:tcPr>
            <w:tcW w:w="1749" w:type="dxa"/>
            <w:shd w:val="clear" w:color="auto" w:fill="auto"/>
            <w:vAlign w:val="center"/>
          </w:tcPr>
          <w:p w14:paraId="3418D97D">
            <w:pPr>
              <w:jc w:val="right"/>
            </w:pPr>
            <w:r>
              <w:t>0.00</w:t>
            </w:r>
          </w:p>
        </w:tc>
        <w:tc>
          <w:tcPr>
            <w:tcW w:w="1653" w:type="dxa"/>
            <w:vAlign w:val="center"/>
          </w:tcPr>
          <w:p w14:paraId="64D077DF">
            <w:pPr>
              <w:jc w:val="right"/>
            </w:pPr>
            <w:r>
              <w:t>0.00</w:t>
            </w:r>
          </w:p>
        </w:tc>
        <w:tc>
          <w:tcPr>
            <w:tcW w:w="1705" w:type="dxa"/>
            <w:vAlign w:val="center"/>
          </w:tcPr>
          <w:p w14:paraId="3270C0FD">
            <w:pPr>
              <w:jc w:val="right"/>
            </w:pPr>
            <w:r>
              <w:t>0.00</w:t>
            </w:r>
          </w:p>
        </w:tc>
      </w:tr>
      <w:tr w14:paraId="2EEC1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B1518A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30C2D77">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6DB50E4">
            <w:pPr>
              <w:jc w:val="right"/>
            </w:pPr>
          </w:p>
        </w:tc>
        <w:tc>
          <w:tcPr>
            <w:tcW w:w="1749" w:type="dxa"/>
            <w:shd w:val="clear" w:color="auto" w:fill="auto"/>
            <w:vAlign w:val="center"/>
          </w:tcPr>
          <w:p w14:paraId="6E749C15">
            <w:pPr>
              <w:jc w:val="right"/>
            </w:pPr>
          </w:p>
        </w:tc>
        <w:tc>
          <w:tcPr>
            <w:tcW w:w="1653" w:type="dxa"/>
            <w:vAlign w:val="center"/>
          </w:tcPr>
          <w:p w14:paraId="283E1F80">
            <w:pPr>
              <w:jc w:val="right"/>
            </w:pPr>
          </w:p>
        </w:tc>
        <w:tc>
          <w:tcPr>
            <w:tcW w:w="1705" w:type="dxa"/>
            <w:vAlign w:val="center"/>
          </w:tcPr>
          <w:p w14:paraId="5848623C">
            <w:pPr>
              <w:jc w:val="right"/>
            </w:pPr>
          </w:p>
        </w:tc>
      </w:tr>
      <w:tr w14:paraId="46209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8FFB17">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8D8CE30">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8EF9C94">
            <w:pPr>
              <w:jc w:val="right"/>
            </w:pPr>
            <w:r>
              <w:t>0.00</w:t>
            </w:r>
          </w:p>
        </w:tc>
        <w:tc>
          <w:tcPr>
            <w:tcW w:w="1749" w:type="dxa"/>
            <w:shd w:val="clear" w:color="auto" w:fill="auto"/>
            <w:vAlign w:val="center"/>
          </w:tcPr>
          <w:p w14:paraId="2C8BEBFC">
            <w:pPr>
              <w:jc w:val="right"/>
            </w:pPr>
            <w:r>
              <w:t>0.00</w:t>
            </w:r>
          </w:p>
        </w:tc>
        <w:tc>
          <w:tcPr>
            <w:tcW w:w="1653" w:type="dxa"/>
            <w:vAlign w:val="center"/>
          </w:tcPr>
          <w:p w14:paraId="2F617487">
            <w:pPr>
              <w:jc w:val="right"/>
            </w:pPr>
            <w:r>
              <w:t>139,602.98</w:t>
            </w:r>
          </w:p>
        </w:tc>
        <w:tc>
          <w:tcPr>
            <w:tcW w:w="1705" w:type="dxa"/>
            <w:vAlign w:val="center"/>
          </w:tcPr>
          <w:p w14:paraId="6A801B9F">
            <w:pPr>
              <w:jc w:val="right"/>
            </w:pPr>
            <w:r>
              <w:t>3.44</w:t>
            </w:r>
          </w:p>
        </w:tc>
      </w:tr>
      <w:tr w14:paraId="0229A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700E96E">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48615B8C">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10BF03F4">
            <w:pPr>
              <w:jc w:val="right"/>
            </w:pPr>
            <w:r>
              <w:t>0.00</w:t>
            </w:r>
          </w:p>
        </w:tc>
        <w:tc>
          <w:tcPr>
            <w:tcW w:w="1749" w:type="dxa"/>
            <w:shd w:val="clear" w:color="auto" w:fill="auto"/>
            <w:vAlign w:val="center"/>
          </w:tcPr>
          <w:p w14:paraId="6520BCCF">
            <w:pPr>
              <w:jc w:val="right"/>
            </w:pPr>
            <w:r>
              <w:t>0.00</w:t>
            </w:r>
          </w:p>
        </w:tc>
        <w:tc>
          <w:tcPr>
            <w:tcW w:w="1653" w:type="dxa"/>
            <w:vAlign w:val="center"/>
          </w:tcPr>
          <w:p w14:paraId="7FDED944">
            <w:pPr>
              <w:jc w:val="right"/>
            </w:pPr>
            <w:r>
              <w:t>4,139,366.74</w:t>
            </w:r>
          </w:p>
        </w:tc>
        <w:tc>
          <w:tcPr>
            <w:tcW w:w="1705" w:type="dxa"/>
            <w:vAlign w:val="center"/>
          </w:tcPr>
          <w:p w14:paraId="4A990F06">
            <w:pPr>
              <w:jc w:val="right"/>
            </w:pPr>
            <w:r>
              <w:t>101.98</w:t>
            </w:r>
          </w:p>
        </w:tc>
      </w:tr>
      <w:tr w14:paraId="09AE6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5CAC80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15790F1">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58504960">
            <w:pPr>
              <w:jc w:val="right"/>
            </w:pPr>
            <w:r>
              <w:t>0.00</w:t>
            </w:r>
          </w:p>
        </w:tc>
        <w:tc>
          <w:tcPr>
            <w:tcW w:w="1749" w:type="dxa"/>
            <w:shd w:val="clear" w:color="auto" w:fill="auto"/>
            <w:vAlign w:val="center"/>
          </w:tcPr>
          <w:p w14:paraId="44FC52CD">
            <w:pPr>
              <w:jc w:val="right"/>
            </w:pPr>
            <w:r>
              <w:t>0.00</w:t>
            </w:r>
          </w:p>
        </w:tc>
        <w:tc>
          <w:tcPr>
            <w:tcW w:w="1653" w:type="dxa"/>
            <w:vAlign w:val="center"/>
          </w:tcPr>
          <w:p w14:paraId="26F26B72">
            <w:pPr>
              <w:jc w:val="right"/>
            </w:pPr>
            <w:r>
              <w:t>3,964,529.71</w:t>
            </w:r>
          </w:p>
        </w:tc>
        <w:tc>
          <w:tcPr>
            <w:tcW w:w="1705" w:type="dxa"/>
            <w:vAlign w:val="center"/>
          </w:tcPr>
          <w:p w14:paraId="1A26EBF7">
            <w:pPr>
              <w:jc w:val="right"/>
            </w:pPr>
            <w:r>
              <w:t>97.67</w:t>
            </w:r>
          </w:p>
        </w:tc>
      </w:tr>
      <w:tr w14:paraId="33783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B7D11B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6687805">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1B9B176C">
            <w:pPr>
              <w:jc w:val="right"/>
            </w:pPr>
            <w:r>
              <w:t>0.00</w:t>
            </w:r>
          </w:p>
        </w:tc>
        <w:tc>
          <w:tcPr>
            <w:tcW w:w="1749" w:type="dxa"/>
            <w:shd w:val="clear" w:color="auto" w:fill="auto"/>
            <w:vAlign w:val="center"/>
          </w:tcPr>
          <w:p w14:paraId="0C1B8876">
            <w:pPr>
              <w:jc w:val="right"/>
            </w:pPr>
            <w:r>
              <w:t>0.00</w:t>
            </w:r>
          </w:p>
        </w:tc>
        <w:tc>
          <w:tcPr>
            <w:tcW w:w="1653" w:type="dxa"/>
            <w:vAlign w:val="center"/>
          </w:tcPr>
          <w:p w14:paraId="20E94A0A">
            <w:pPr>
              <w:jc w:val="right"/>
            </w:pPr>
            <w:r>
              <w:t>174,837.03</w:t>
            </w:r>
          </w:p>
        </w:tc>
        <w:tc>
          <w:tcPr>
            <w:tcW w:w="1705" w:type="dxa"/>
            <w:vAlign w:val="center"/>
          </w:tcPr>
          <w:p w14:paraId="683FB8FF">
            <w:pPr>
              <w:jc w:val="right"/>
            </w:pPr>
            <w:r>
              <w:t>4.31</w:t>
            </w:r>
          </w:p>
        </w:tc>
      </w:tr>
      <w:tr w14:paraId="1D8A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6EA1B3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71265717">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1D323D2">
            <w:pPr>
              <w:jc w:val="right"/>
            </w:pPr>
            <w:r>
              <w:t>0.00</w:t>
            </w:r>
          </w:p>
        </w:tc>
        <w:tc>
          <w:tcPr>
            <w:tcW w:w="1749" w:type="dxa"/>
            <w:shd w:val="clear" w:color="auto" w:fill="auto"/>
            <w:vAlign w:val="center"/>
          </w:tcPr>
          <w:p w14:paraId="0E48FB96">
            <w:pPr>
              <w:jc w:val="right"/>
            </w:pPr>
            <w:r>
              <w:t>0.00</w:t>
            </w:r>
          </w:p>
        </w:tc>
        <w:tc>
          <w:tcPr>
            <w:tcW w:w="1653" w:type="dxa"/>
            <w:vAlign w:val="center"/>
          </w:tcPr>
          <w:p w14:paraId="0D2199AA">
            <w:pPr>
              <w:jc w:val="right"/>
            </w:pPr>
            <w:r>
              <w:t>0.00</w:t>
            </w:r>
          </w:p>
        </w:tc>
        <w:tc>
          <w:tcPr>
            <w:tcW w:w="1705" w:type="dxa"/>
            <w:vAlign w:val="center"/>
          </w:tcPr>
          <w:p w14:paraId="58CD145F">
            <w:pPr>
              <w:jc w:val="right"/>
            </w:pPr>
            <w:r>
              <w:t>0.00</w:t>
            </w:r>
          </w:p>
        </w:tc>
      </w:tr>
      <w:tr w14:paraId="184E0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92E1F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30E3AA5">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53D8E024">
            <w:pPr>
              <w:jc w:val="right"/>
            </w:pPr>
          </w:p>
        </w:tc>
        <w:tc>
          <w:tcPr>
            <w:tcW w:w="1749" w:type="dxa"/>
            <w:shd w:val="clear" w:color="auto" w:fill="auto"/>
            <w:vAlign w:val="center"/>
          </w:tcPr>
          <w:p w14:paraId="3633CB96">
            <w:pPr>
              <w:jc w:val="right"/>
            </w:pPr>
          </w:p>
        </w:tc>
        <w:tc>
          <w:tcPr>
            <w:tcW w:w="1653" w:type="dxa"/>
            <w:vAlign w:val="center"/>
          </w:tcPr>
          <w:p w14:paraId="3FD93248">
            <w:pPr>
              <w:jc w:val="right"/>
            </w:pPr>
          </w:p>
        </w:tc>
        <w:tc>
          <w:tcPr>
            <w:tcW w:w="1705" w:type="dxa"/>
            <w:vAlign w:val="center"/>
          </w:tcPr>
          <w:p w14:paraId="1F07E000">
            <w:pPr>
              <w:jc w:val="right"/>
            </w:pPr>
          </w:p>
        </w:tc>
      </w:tr>
      <w:tr w14:paraId="2AB97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0D025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60B8938">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37EB70E">
            <w:pPr>
              <w:jc w:val="right"/>
            </w:pPr>
          </w:p>
        </w:tc>
        <w:tc>
          <w:tcPr>
            <w:tcW w:w="1749" w:type="dxa"/>
            <w:shd w:val="clear" w:color="auto" w:fill="auto"/>
            <w:vAlign w:val="center"/>
          </w:tcPr>
          <w:p w14:paraId="0E076A42">
            <w:pPr>
              <w:jc w:val="right"/>
            </w:pPr>
          </w:p>
        </w:tc>
        <w:tc>
          <w:tcPr>
            <w:tcW w:w="1653" w:type="dxa"/>
            <w:vAlign w:val="center"/>
          </w:tcPr>
          <w:p w14:paraId="72C70C09">
            <w:pPr>
              <w:jc w:val="right"/>
            </w:pPr>
          </w:p>
        </w:tc>
        <w:tc>
          <w:tcPr>
            <w:tcW w:w="1705" w:type="dxa"/>
            <w:vAlign w:val="center"/>
          </w:tcPr>
          <w:p w14:paraId="61227660">
            <w:pPr>
              <w:jc w:val="right"/>
            </w:pPr>
          </w:p>
        </w:tc>
      </w:tr>
      <w:tr w14:paraId="3577F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86F02B">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140B8FD">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D54829F">
            <w:pPr>
              <w:jc w:val="right"/>
            </w:pPr>
            <w:r>
              <w:t>0.00</w:t>
            </w:r>
          </w:p>
        </w:tc>
        <w:tc>
          <w:tcPr>
            <w:tcW w:w="1749" w:type="dxa"/>
            <w:shd w:val="clear" w:color="auto" w:fill="auto"/>
            <w:vAlign w:val="center"/>
          </w:tcPr>
          <w:p w14:paraId="54902A89">
            <w:pPr>
              <w:jc w:val="right"/>
            </w:pPr>
            <w:r>
              <w:t>0.00</w:t>
            </w:r>
          </w:p>
        </w:tc>
        <w:tc>
          <w:tcPr>
            <w:tcW w:w="1653" w:type="dxa"/>
            <w:vAlign w:val="center"/>
          </w:tcPr>
          <w:p w14:paraId="27ACA8B3">
            <w:pPr>
              <w:jc w:val="right"/>
            </w:pPr>
            <w:r>
              <w:t>0.00</w:t>
            </w:r>
          </w:p>
        </w:tc>
        <w:tc>
          <w:tcPr>
            <w:tcW w:w="1705" w:type="dxa"/>
            <w:vAlign w:val="center"/>
          </w:tcPr>
          <w:p w14:paraId="70F5A0BD">
            <w:pPr>
              <w:jc w:val="right"/>
            </w:pPr>
            <w:r>
              <w:t>0.00</w:t>
            </w:r>
          </w:p>
        </w:tc>
      </w:tr>
      <w:tr w14:paraId="2599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2D447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394B18D">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F8D8D93">
            <w:pPr>
              <w:jc w:val="right"/>
            </w:pPr>
          </w:p>
        </w:tc>
        <w:tc>
          <w:tcPr>
            <w:tcW w:w="1749" w:type="dxa"/>
            <w:shd w:val="clear" w:color="auto" w:fill="auto"/>
            <w:vAlign w:val="center"/>
          </w:tcPr>
          <w:p w14:paraId="67C9B76E">
            <w:pPr>
              <w:jc w:val="right"/>
            </w:pPr>
          </w:p>
        </w:tc>
        <w:tc>
          <w:tcPr>
            <w:tcW w:w="1653" w:type="dxa"/>
            <w:vAlign w:val="center"/>
          </w:tcPr>
          <w:p w14:paraId="6E999BC6">
            <w:pPr>
              <w:jc w:val="right"/>
            </w:pPr>
          </w:p>
        </w:tc>
        <w:tc>
          <w:tcPr>
            <w:tcW w:w="1705" w:type="dxa"/>
            <w:vAlign w:val="center"/>
          </w:tcPr>
          <w:p w14:paraId="2070A8B8">
            <w:pPr>
              <w:jc w:val="right"/>
            </w:pPr>
          </w:p>
        </w:tc>
      </w:tr>
      <w:tr w14:paraId="3BE9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ED6614">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39A5A92">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62C97D0">
            <w:pPr>
              <w:jc w:val="right"/>
            </w:pPr>
            <w:r>
              <w:t>0.00</w:t>
            </w:r>
          </w:p>
        </w:tc>
        <w:tc>
          <w:tcPr>
            <w:tcW w:w="1749" w:type="dxa"/>
            <w:shd w:val="clear" w:color="auto" w:fill="auto"/>
            <w:vAlign w:val="center"/>
          </w:tcPr>
          <w:p w14:paraId="57771C37">
            <w:pPr>
              <w:jc w:val="right"/>
            </w:pPr>
            <w:r>
              <w:t>0.00</w:t>
            </w:r>
          </w:p>
        </w:tc>
        <w:tc>
          <w:tcPr>
            <w:tcW w:w="1653" w:type="dxa"/>
            <w:vAlign w:val="center"/>
          </w:tcPr>
          <w:p w14:paraId="02A0AD51">
            <w:pPr>
              <w:jc w:val="right"/>
            </w:pPr>
            <w:r>
              <w:t>0.00</w:t>
            </w:r>
          </w:p>
        </w:tc>
        <w:tc>
          <w:tcPr>
            <w:tcW w:w="1705" w:type="dxa"/>
            <w:vAlign w:val="center"/>
          </w:tcPr>
          <w:p w14:paraId="11281A34">
            <w:pPr>
              <w:jc w:val="right"/>
            </w:pPr>
            <w:r>
              <w:t>0.00</w:t>
            </w:r>
          </w:p>
        </w:tc>
      </w:tr>
      <w:tr w14:paraId="7942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4748B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BA460CB">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008FC20">
            <w:pPr>
              <w:jc w:val="right"/>
            </w:pPr>
            <w:r>
              <w:t>0.00</w:t>
            </w:r>
          </w:p>
        </w:tc>
        <w:tc>
          <w:tcPr>
            <w:tcW w:w="1749" w:type="dxa"/>
            <w:shd w:val="clear" w:color="auto" w:fill="auto"/>
            <w:vAlign w:val="center"/>
          </w:tcPr>
          <w:p w14:paraId="19CA0461">
            <w:pPr>
              <w:jc w:val="right"/>
            </w:pPr>
            <w:r>
              <w:t>0.00</w:t>
            </w:r>
          </w:p>
        </w:tc>
        <w:tc>
          <w:tcPr>
            <w:tcW w:w="1653" w:type="dxa"/>
            <w:vAlign w:val="center"/>
          </w:tcPr>
          <w:p w14:paraId="7C1C76BB">
            <w:pPr>
              <w:jc w:val="right"/>
            </w:pPr>
            <w:r>
              <w:t>0.00</w:t>
            </w:r>
          </w:p>
        </w:tc>
        <w:tc>
          <w:tcPr>
            <w:tcW w:w="1705" w:type="dxa"/>
            <w:vAlign w:val="center"/>
          </w:tcPr>
          <w:p w14:paraId="3D57A146">
            <w:pPr>
              <w:jc w:val="right"/>
            </w:pPr>
            <w:r>
              <w:t>0.00</w:t>
            </w:r>
          </w:p>
        </w:tc>
      </w:tr>
      <w:tr w14:paraId="651E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CB0431">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516925E">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589E6C8">
            <w:pPr>
              <w:jc w:val="right"/>
            </w:pPr>
          </w:p>
        </w:tc>
        <w:tc>
          <w:tcPr>
            <w:tcW w:w="1749" w:type="dxa"/>
            <w:shd w:val="clear" w:color="auto" w:fill="auto"/>
            <w:vAlign w:val="center"/>
          </w:tcPr>
          <w:p w14:paraId="558B36E1">
            <w:pPr>
              <w:jc w:val="right"/>
            </w:pPr>
          </w:p>
        </w:tc>
        <w:tc>
          <w:tcPr>
            <w:tcW w:w="1653" w:type="dxa"/>
            <w:vAlign w:val="center"/>
          </w:tcPr>
          <w:p w14:paraId="253D1E3B">
            <w:pPr>
              <w:jc w:val="right"/>
            </w:pPr>
          </w:p>
        </w:tc>
        <w:tc>
          <w:tcPr>
            <w:tcW w:w="1705" w:type="dxa"/>
            <w:vAlign w:val="center"/>
          </w:tcPr>
          <w:p w14:paraId="5E7E07A4">
            <w:pPr>
              <w:jc w:val="right"/>
            </w:pPr>
          </w:p>
        </w:tc>
      </w:tr>
      <w:tr w14:paraId="3C21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076C6F">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8C98EAA">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561DDF4">
            <w:pPr>
              <w:jc w:val="right"/>
            </w:pPr>
            <w:r>
              <w:t>0.00</w:t>
            </w:r>
          </w:p>
        </w:tc>
        <w:tc>
          <w:tcPr>
            <w:tcW w:w="1749" w:type="dxa"/>
            <w:shd w:val="clear" w:color="auto" w:fill="auto"/>
            <w:vAlign w:val="center"/>
          </w:tcPr>
          <w:p w14:paraId="4D8292CF">
            <w:pPr>
              <w:jc w:val="right"/>
            </w:pPr>
            <w:r>
              <w:t>0.00</w:t>
            </w:r>
          </w:p>
        </w:tc>
        <w:tc>
          <w:tcPr>
            <w:tcW w:w="1653" w:type="dxa"/>
            <w:vAlign w:val="center"/>
          </w:tcPr>
          <w:p w14:paraId="6A2CE316">
            <w:pPr>
              <w:jc w:val="right"/>
            </w:pPr>
            <w:r>
              <w:t>9,005.48</w:t>
            </w:r>
          </w:p>
        </w:tc>
        <w:tc>
          <w:tcPr>
            <w:tcW w:w="1705" w:type="dxa"/>
            <w:vAlign w:val="center"/>
          </w:tcPr>
          <w:p w14:paraId="6E70B11F">
            <w:pPr>
              <w:jc w:val="right"/>
            </w:pPr>
            <w:r>
              <w:t>0.22</w:t>
            </w:r>
          </w:p>
        </w:tc>
      </w:tr>
      <w:tr w14:paraId="1062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D9B5F23">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253179F">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17025E5C">
            <w:pPr>
              <w:jc w:val="right"/>
            </w:pPr>
            <w:r>
              <w:t>0.00</w:t>
            </w:r>
          </w:p>
        </w:tc>
        <w:tc>
          <w:tcPr>
            <w:tcW w:w="1749" w:type="dxa"/>
            <w:shd w:val="clear" w:color="auto" w:fill="auto"/>
            <w:vAlign w:val="center"/>
          </w:tcPr>
          <w:p w14:paraId="27359245">
            <w:pPr>
              <w:jc w:val="right"/>
            </w:pPr>
            <w:r>
              <w:t>0.00</w:t>
            </w:r>
          </w:p>
        </w:tc>
        <w:tc>
          <w:tcPr>
            <w:tcW w:w="1653" w:type="dxa"/>
            <w:vAlign w:val="center"/>
          </w:tcPr>
          <w:p w14:paraId="7E05DD51">
            <w:pPr>
              <w:jc w:val="right"/>
            </w:pPr>
            <w:r>
              <w:t>0.00</w:t>
            </w:r>
          </w:p>
        </w:tc>
        <w:tc>
          <w:tcPr>
            <w:tcW w:w="1705" w:type="dxa"/>
            <w:vAlign w:val="center"/>
          </w:tcPr>
          <w:p w14:paraId="12DD6027">
            <w:pPr>
              <w:jc w:val="right"/>
            </w:pPr>
            <w:r>
              <w:t>0.00</w:t>
            </w:r>
          </w:p>
        </w:tc>
      </w:tr>
      <w:tr w14:paraId="0B6D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B7A8FC">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5E3DF607">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0D175FC">
            <w:pPr>
              <w:jc w:val="right"/>
            </w:pPr>
            <w:r>
              <w:t>4,059,044.21</w:t>
            </w:r>
          </w:p>
        </w:tc>
        <w:tc>
          <w:tcPr>
            <w:tcW w:w="1749" w:type="dxa"/>
            <w:shd w:val="clear" w:color="auto" w:fill="auto"/>
            <w:vAlign w:val="center"/>
          </w:tcPr>
          <w:p w14:paraId="1EBA1EB2">
            <w:pPr>
              <w:jc w:val="right"/>
            </w:pPr>
            <w:r>
              <w:t>100.00</w:t>
            </w:r>
          </w:p>
        </w:tc>
        <w:tc>
          <w:tcPr>
            <w:tcW w:w="1653" w:type="dxa"/>
            <w:vAlign w:val="center"/>
          </w:tcPr>
          <w:p w14:paraId="1BC97D2D">
            <w:pPr>
              <w:jc w:val="right"/>
            </w:pPr>
            <w:r>
              <w:t>0.00</w:t>
            </w:r>
          </w:p>
        </w:tc>
        <w:tc>
          <w:tcPr>
            <w:tcW w:w="1705" w:type="dxa"/>
            <w:vAlign w:val="center"/>
          </w:tcPr>
          <w:p w14:paraId="28AB6551">
            <w:pPr>
              <w:jc w:val="right"/>
            </w:pPr>
            <w:r>
              <w:t>0.00</w:t>
            </w:r>
          </w:p>
        </w:tc>
      </w:tr>
      <w:tr w14:paraId="1E76D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ADF534">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6B721B0">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E9BF0C3">
            <w:pPr>
              <w:jc w:val="right"/>
            </w:pPr>
            <w:r>
              <w:t>0.00</w:t>
            </w:r>
          </w:p>
        </w:tc>
        <w:tc>
          <w:tcPr>
            <w:tcW w:w="1749" w:type="dxa"/>
            <w:shd w:val="clear" w:color="auto" w:fill="auto"/>
            <w:vAlign w:val="center"/>
          </w:tcPr>
          <w:p w14:paraId="53346E82">
            <w:pPr>
              <w:jc w:val="right"/>
            </w:pPr>
            <w:r>
              <w:t>0.00</w:t>
            </w:r>
          </w:p>
        </w:tc>
        <w:tc>
          <w:tcPr>
            <w:tcW w:w="1653" w:type="dxa"/>
            <w:vAlign w:val="center"/>
          </w:tcPr>
          <w:p w14:paraId="77FACE3F">
            <w:pPr>
              <w:jc w:val="right"/>
            </w:pPr>
            <w:r>
              <w:t>37.41</w:t>
            </w:r>
          </w:p>
        </w:tc>
        <w:tc>
          <w:tcPr>
            <w:tcW w:w="1705" w:type="dxa"/>
            <w:vAlign w:val="center"/>
          </w:tcPr>
          <w:p w14:paraId="6473C714">
            <w:pPr>
              <w:jc w:val="right"/>
            </w:pPr>
            <w:r>
              <w:t>0.00</w:t>
            </w:r>
          </w:p>
        </w:tc>
      </w:tr>
      <w:tr w14:paraId="76F3B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D8620DB">
            <w:pPr>
              <w:jc w:val="left"/>
              <w:rPr>
                <w:rFonts w:ascii="宋体" w:hAnsi="宋体"/>
                <w:szCs w:val="21"/>
              </w:rPr>
            </w:pPr>
          </w:p>
        </w:tc>
        <w:tc>
          <w:tcPr>
            <w:tcW w:w="1447" w:type="dxa"/>
            <w:shd w:val="clear" w:color="auto" w:fill="auto"/>
          </w:tcPr>
          <w:p w14:paraId="2E2C72BC">
            <w:pPr>
              <w:jc w:val="left"/>
              <w:rPr>
                <w:rFonts w:ascii="宋体" w:hAnsi="宋体"/>
                <w:szCs w:val="21"/>
              </w:rPr>
            </w:pPr>
            <w:r>
              <w:rPr>
                <w:rFonts w:hint="eastAsia" w:ascii="宋体" w:hAnsi="宋体"/>
                <w:szCs w:val="21"/>
              </w:rPr>
              <w:t>合计</w:t>
            </w:r>
          </w:p>
        </w:tc>
        <w:tc>
          <w:tcPr>
            <w:tcW w:w="1697" w:type="dxa"/>
            <w:shd w:val="clear" w:color="auto" w:fill="auto"/>
          </w:tcPr>
          <w:p w14:paraId="1B0C2438">
            <w:pPr>
              <w:jc w:val="right"/>
            </w:pPr>
            <w:r>
              <w:t>4,059,044.21</w:t>
            </w:r>
          </w:p>
        </w:tc>
        <w:tc>
          <w:tcPr>
            <w:tcW w:w="1749" w:type="dxa"/>
            <w:shd w:val="clear" w:color="auto" w:fill="auto"/>
          </w:tcPr>
          <w:p w14:paraId="25E4A2E7">
            <w:pPr>
              <w:jc w:val="right"/>
            </w:pPr>
            <w:r>
              <w:t>100.00</w:t>
            </w:r>
          </w:p>
        </w:tc>
        <w:tc>
          <w:tcPr>
            <w:tcW w:w="1653" w:type="dxa"/>
          </w:tcPr>
          <w:p w14:paraId="74D7D429">
            <w:pPr>
              <w:jc w:val="right"/>
            </w:pPr>
            <w:r>
              <w:t>4,288,012.61</w:t>
            </w:r>
          </w:p>
        </w:tc>
        <w:tc>
          <w:tcPr>
            <w:tcW w:w="1705" w:type="dxa"/>
          </w:tcPr>
          <w:p w14:paraId="0389C961">
            <w:pPr>
              <w:jc w:val="right"/>
            </w:pPr>
            <w:r>
              <w:t>105.64</w:t>
            </w:r>
          </w:p>
        </w:tc>
      </w:tr>
    </w:tbl>
    <w:p w14:paraId="11FB5752">
      <w:pPr>
        <w:ind w:left="420" w:leftChars="200"/>
        <w:jc w:val="left"/>
        <w:rPr>
          <w:rFonts w:ascii="宋体" w:hAnsi="宋体"/>
          <w:sz w:val="24"/>
        </w:rPr>
      </w:pPr>
    </w:p>
    <w:p w14:paraId="784416A1">
      <w:pPr>
        <w:ind w:left="420" w:leftChars="200"/>
        <w:jc w:val="left"/>
        <w:rPr>
          <w:rFonts w:asciiTheme="minorEastAsia" w:hAnsiTheme="minorEastAsia" w:eastAsiaTheme="minorEastAsia"/>
          <w:sz w:val="24"/>
        </w:rPr>
      </w:pPr>
      <w:r>
        <w:rPr>
          <w:rFonts w:asciiTheme="minorEastAsia" w:hAnsiTheme="minorEastAsia" w:eastAsiaTheme="minorEastAsia"/>
          <w:szCs w:val="21"/>
        </w:rPr>
        <w:t>注1：间接投资占产品总资产的比例（%）为占本产品总资产的比例（%）。</w:t>
      </w:r>
    </w:p>
    <w:p w14:paraId="54A89754">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AE3AA67">
      <w:pPr>
        <w:jc w:val="left"/>
        <w:rPr>
          <w:rFonts w:asciiTheme="minorEastAsia" w:hAnsiTheme="minorEastAsia" w:eastAsiaTheme="minorEastAsia"/>
          <w:sz w:val="24"/>
        </w:rPr>
      </w:pPr>
      <w:r>
        <w:rPr>
          <w:rFonts w:hint="eastAsia" w:ascii="宋体" w:hAnsi="宋体"/>
          <w:sz w:val="24"/>
        </w:rPr>
        <w:t xml:space="preserve">   </w:t>
      </w:r>
      <w:r>
        <w:rPr>
          <w:rFonts w:hint="eastAsia" w:ascii="宋体" w:hAnsi="宋体" w:eastAsia="宋体"/>
          <w:szCs w:val="21"/>
        </w:rPr>
        <w:t>报告期内管理人合理安排资产结构，严格按照产品说明书约定的投资范围、比例等要求进行投资管理，流动性风险可控。</w:t>
      </w:r>
    </w:p>
    <w:p w14:paraId="13416120">
      <w:pPr>
        <w:widowControl/>
        <w:jc w:val="left"/>
        <w:rPr>
          <w:rFonts w:ascii="宋体" w:hAnsi="宋体"/>
          <w:sz w:val="24"/>
        </w:rPr>
      </w:pPr>
    </w:p>
    <w:p w14:paraId="5BDE1E96">
      <w:pPr>
        <w:pStyle w:val="41"/>
        <w:spacing w:before="156" w:after="156"/>
        <w:rPr>
          <w:b w:val="0"/>
        </w:rPr>
      </w:pPr>
      <w:r>
        <w:rPr>
          <w:rFonts w:hint="eastAsia"/>
          <w:b w:val="0"/>
        </w:rPr>
        <w:t>报告期末占资产净值比例大小排序的前十项资产</w:t>
      </w:r>
      <w:r>
        <w:rPr>
          <w:b w:val="0"/>
        </w:rPr>
        <w:t>明细</w:t>
      </w:r>
    </w:p>
    <w:p w14:paraId="3D08C85D">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E8F0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4589D1D">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37CC26F1">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3818E10">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A7C80A2">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8EE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F9C5B5A">
            <w:pPr>
              <w:jc w:val="center"/>
              <w:rPr>
                <w:szCs w:val="21"/>
              </w:rPr>
            </w:pPr>
            <w:r>
              <w:rPr>
                <w:szCs w:val="21"/>
              </w:rPr>
              <w:t>1</w:t>
            </w:r>
          </w:p>
        </w:tc>
        <w:tc>
          <w:tcPr>
            <w:tcW w:w="3159" w:type="dxa"/>
            <w:shd w:val="clear" w:color="auto" w:fill="auto"/>
            <w:vAlign w:val="center"/>
          </w:tcPr>
          <w:p w14:paraId="4F48FA16">
            <w:pPr>
              <w:rPr>
                <w:rFonts w:asciiTheme="majorEastAsia" w:hAnsiTheme="majorEastAsia" w:eastAsiaTheme="majorEastAsia"/>
                <w:szCs w:val="21"/>
              </w:rPr>
            </w:pPr>
            <w:r>
              <w:rPr>
                <w:rFonts w:asciiTheme="majorEastAsia" w:hAnsiTheme="majorEastAsia" w:eastAsiaTheme="majorEastAsia"/>
                <w:szCs w:val="21"/>
              </w:rPr>
              <w:t>中信证券星云17号集合资产管理计划</w:t>
            </w:r>
          </w:p>
        </w:tc>
        <w:tc>
          <w:tcPr>
            <w:tcW w:w="2693" w:type="dxa"/>
            <w:shd w:val="clear" w:color="auto" w:fill="auto"/>
            <w:vAlign w:val="center"/>
          </w:tcPr>
          <w:p w14:paraId="11C6339E">
            <w:pPr>
              <w:jc w:val="right"/>
            </w:pPr>
            <w:r>
              <w:t>4,059,044.21</w:t>
            </w:r>
          </w:p>
        </w:tc>
        <w:tc>
          <w:tcPr>
            <w:tcW w:w="2431" w:type="dxa"/>
            <w:shd w:val="clear" w:color="auto" w:fill="auto"/>
            <w:vAlign w:val="center"/>
          </w:tcPr>
          <w:p w14:paraId="620B0A78">
            <w:pPr>
              <w:jc w:val="right"/>
            </w:pPr>
            <w:bookmarkStart w:id="3" w:name="OLE_LINK5"/>
            <w:bookmarkEnd w:id="3"/>
            <w:bookmarkStart w:id="4" w:name="OLE_LINK6"/>
            <w:bookmarkEnd w:id="4"/>
            <w:r>
              <w:rPr>
                <w:rFonts w:hint="eastAsia"/>
              </w:rPr>
              <w:t>100.01</w:t>
            </w:r>
          </w:p>
        </w:tc>
      </w:tr>
    </w:tbl>
    <w:p w14:paraId="36B7A551">
      <w:pPr>
        <w:rPr>
          <w:rFonts w:ascii="宋体" w:hAnsi="宋体"/>
          <w:sz w:val="24"/>
        </w:rPr>
      </w:pPr>
      <w:r>
        <w:rPr>
          <w:rFonts w:hint="eastAsia" w:ascii="宋体" w:hAnsi="宋体"/>
          <w:sz w:val="24"/>
        </w:rPr>
        <w:t xml:space="preserve"> </w:t>
      </w:r>
    </w:p>
    <w:p w14:paraId="79DC9241">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C125F52">
      <w:pPr>
        <w:pStyle w:val="41"/>
        <w:spacing w:before="156" w:after="156"/>
        <w:rPr>
          <w:b w:val="0"/>
        </w:rPr>
      </w:pPr>
      <w:r>
        <w:rPr>
          <w:rFonts w:hint="eastAsia"/>
          <w:b w:val="0"/>
        </w:rPr>
        <w:t>报告期末占资产净值比例大小排序的前十项资产明细（穿透后）</w:t>
      </w:r>
    </w:p>
    <w:p w14:paraId="487A00C7">
      <w:pPr>
        <w:spacing w:before="100" w:beforeAutospacing="1" w:after="100" w:afterAutospacing="1"/>
        <w:jc w:val="right"/>
      </w:pPr>
      <w:r>
        <w:rPr>
          <w:rFonts w:hint="eastAsia"/>
        </w:rPr>
        <w:t>金额单位：元</w:t>
      </w:r>
    </w:p>
    <w:tbl>
      <w:tblPr>
        <w:tblStyle w:val="17"/>
        <w:tblW w:w="9060" w:type="dxa"/>
        <w:jc w:val="center"/>
        <w:tblLayout w:type="autofit"/>
        <w:tblCellMar>
          <w:top w:w="0" w:type="dxa"/>
          <w:left w:w="0" w:type="dxa"/>
          <w:bottom w:w="0" w:type="dxa"/>
          <w:right w:w="0" w:type="dxa"/>
        </w:tblCellMar>
      </w:tblPr>
      <w:tblGrid>
        <w:gridCol w:w="777"/>
        <w:gridCol w:w="3159"/>
        <w:gridCol w:w="2693"/>
        <w:gridCol w:w="2431"/>
      </w:tblGrid>
      <w:tr w14:paraId="421BD7A8">
        <w:tblPrEx>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14:paraId="7CE992C3">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1FAF90CF">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124A7A1D">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694C57A5">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14:paraId="06939BA6">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1C8D575B">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14:paraId="3D12E41A">
            <w:pPr>
              <w:rPr>
                <w:rFonts w:asciiTheme="majorEastAsia" w:hAnsiTheme="majorEastAsia" w:eastAsiaTheme="majorEastAsia"/>
                <w:sz w:val="20"/>
              </w:rPr>
            </w:pPr>
            <w:r>
              <w:rPr>
                <w:rFonts w:asciiTheme="majorEastAsia" w:hAnsiTheme="majorEastAsia" w:eastAsiaTheme="majorEastAsia"/>
                <w:szCs w:val="21"/>
              </w:rPr>
              <w:t>24悦达资本PPN002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14:paraId="5021CE40">
            <w:pPr>
              <w:jc w:val="right"/>
              <w:rPr>
                <w:rFonts w:eastAsia="Times New Roman"/>
                <w:sz w:val="20"/>
              </w:rPr>
            </w:pPr>
            <w:r>
              <w:rPr>
                <w:rFonts w:hint="eastAsia"/>
              </w:rPr>
              <w:t>178,888.03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14:paraId="0FA0C24D">
            <w:pPr>
              <w:jc w:val="right"/>
              <w:rPr>
                <w:rFonts w:eastAsia="Times New Roman"/>
                <w:sz w:val="20"/>
              </w:rPr>
            </w:pPr>
            <w:r>
              <w:rPr>
                <w:rFonts w:hint="eastAsia"/>
              </w:rPr>
              <w:t>4.41</w:t>
            </w:r>
          </w:p>
        </w:tc>
      </w:tr>
      <w:tr w14:paraId="73C794E5">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1CDCA0F7">
            <w:pPr>
              <w:spacing w:before="100" w:beforeAutospacing="1" w:after="100" w:afterAutospacing="1"/>
              <w:ind w:hanging="1"/>
              <w:jc w:val="left"/>
            </w:pPr>
            <w:r>
              <w:rPr>
                <w:b w:val="0"/>
                <w:i w:val="0"/>
                <w:strike w:val="0"/>
                <w:u w:val="none"/>
              </w:rPr>
              <w:t>2</w:t>
            </w:r>
          </w:p>
        </w:tc>
        <w:tc>
          <w:tcPr>
            <w:tcW w:w="3159" w:type="dxa"/>
            <w:tcBorders>
              <w:top w:val="nil"/>
              <w:left w:val="nil"/>
              <w:bottom w:val="single" w:color="auto" w:sz="8" w:space="0"/>
              <w:right w:val="single" w:color="auto" w:sz="8" w:space="0"/>
            </w:tcBorders>
            <w:shd w:val="clear" w:color="auto" w:fill="auto"/>
          </w:tcPr>
          <w:p w14:paraId="319FB51C">
            <w:pPr>
              <w:ind w:hanging="1"/>
              <w:jc w:val="left"/>
              <w:rPr>
                <w:rFonts w:asciiTheme="majorEastAsia" w:hAnsiTheme="majorEastAsia" w:eastAsiaTheme="majorEastAsia"/>
                <w:sz w:val="20"/>
              </w:rPr>
            </w:pPr>
            <w:r>
              <w:rPr>
                <w:b w:val="0"/>
                <w:i w:val="0"/>
                <w:strike w:val="0"/>
                <w:u w:val="none"/>
              </w:rPr>
              <w:t>土地01优</w:t>
            </w:r>
          </w:p>
        </w:tc>
        <w:tc>
          <w:tcPr>
            <w:tcW w:w="2693" w:type="dxa"/>
            <w:tcBorders>
              <w:top w:val="nil"/>
              <w:left w:val="nil"/>
              <w:bottom w:val="single" w:color="auto" w:sz="8" w:space="0"/>
              <w:right w:val="single" w:color="auto" w:sz="8" w:space="0"/>
            </w:tcBorders>
            <w:shd w:val="clear" w:color="auto" w:fill="auto"/>
          </w:tcPr>
          <w:p w14:paraId="54E13FA2">
            <w:pPr>
              <w:ind w:hanging="1"/>
              <w:jc w:val="right"/>
              <w:rPr>
                <w:rFonts w:eastAsia="Times New Roman"/>
                <w:sz w:val="20"/>
              </w:rPr>
            </w:pPr>
            <w:r>
              <w:rPr>
                <w:b w:val="0"/>
                <w:i w:val="0"/>
                <w:strike w:val="0"/>
                <w:u w:val="none"/>
              </w:rPr>
              <w:t>174,837.03</w:t>
            </w:r>
          </w:p>
        </w:tc>
        <w:tc>
          <w:tcPr>
            <w:tcW w:w="2431" w:type="dxa"/>
            <w:tcBorders>
              <w:top w:val="nil"/>
              <w:left w:val="nil"/>
              <w:bottom w:val="single" w:color="auto" w:sz="8" w:space="0"/>
              <w:right w:val="single" w:color="auto" w:sz="8" w:space="0"/>
            </w:tcBorders>
            <w:shd w:val="clear" w:color="auto" w:fill="auto"/>
          </w:tcPr>
          <w:p w14:paraId="33D1CE3F">
            <w:pPr>
              <w:ind w:hanging="1"/>
              <w:jc w:val="right"/>
              <w:rPr>
                <w:rFonts w:eastAsia="Times New Roman"/>
                <w:sz w:val="20"/>
              </w:rPr>
            </w:pPr>
            <w:r>
              <w:rPr>
                <w:b w:val="0"/>
                <w:i w:val="0"/>
                <w:strike w:val="0"/>
                <w:u w:val="none"/>
              </w:rPr>
              <w:t>4.31</w:t>
            </w:r>
          </w:p>
        </w:tc>
      </w:tr>
      <w:tr w14:paraId="6F8CA7F8">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3694E63B">
            <w:pPr>
              <w:spacing w:before="100" w:beforeAutospacing="1" w:after="100" w:afterAutospacing="1"/>
              <w:ind w:hanging="1"/>
              <w:jc w:val="left"/>
            </w:pPr>
            <w:r>
              <w:rPr>
                <w:b w:val="0"/>
                <w:i w:val="0"/>
                <w:strike w:val="0"/>
                <w:u w:val="none"/>
              </w:rPr>
              <w:t>3</w:t>
            </w:r>
          </w:p>
        </w:tc>
        <w:tc>
          <w:tcPr>
            <w:tcW w:w="3159" w:type="dxa"/>
            <w:tcBorders>
              <w:top w:val="nil"/>
              <w:left w:val="nil"/>
              <w:bottom w:val="single" w:color="auto" w:sz="8" w:space="0"/>
              <w:right w:val="single" w:color="auto" w:sz="8" w:space="0"/>
            </w:tcBorders>
            <w:shd w:val="clear" w:color="auto" w:fill="auto"/>
          </w:tcPr>
          <w:p w14:paraId="24A57930">
            <w:pPr>
              <w:ind w:hanging="1"/>
              <w:jc w:val="left"/>
              <w:rPr>
                <w:rFonts w:asciiTheme="majorEastAsia" w:hAnsiTheme="majorEastAsia" w:eastAsiaTheme="majorEastAsia"/>
                <w:sz w:val="20"/>
              </w:rPr>
            </w:pPr>
            <w:r>
              <w:rPr>
                <w:b w:val="0"/>
                <w:i w:val="0"/>
                <w:strike w:val="0"/>
                <w:u w:val="none"/>
              </w:rPr>
              <w:t>23乐山01</w:t>
            </w:r>
          </w:p>
        </w:tc>
        <w:tc>
          <w:tcPr>
            <w:tcW w:w="2693" w:type="dxa"/>
            <w:tcBorders>
              <w:top w:val="nil"/>
              <w:left w:val="nil"/>
              <w:bottom w:val="single" w:color="auto" w:sz="8" w:space="0"/>
              <w:right w:val="single" w:color="auto" w:sz="8" w:space="0"/>
            </w:tcBorders>
            <w:shd w:val="clear" w:color="auto" w:fill="auto"/>
          </w:tcPr>
          <w:p w14:paraId="5968D257">
            <w:pPr>
              <w:ind w:hanging="1"/>
              <w:jc w:val="right"/>
              <w:rPr>
                <w:rFonts w:eastAsia="Times New Roman"/>
                <w:sz w:val="20"/>
              </w:rPr>
            </w:pPr>
            <w:r>
              <w:rPr>
                <w:b w:val="0"/>
                <w:i w:val="0"/>
                <w:strike w:val="0"/>
                <w:u w:val="none"/>
              </w:rPr>
              <w:t>143,137.75</w:t>
            </w:r>
          </w:p>
        </w:tc>
        <w:tc>
          <w:tcPr>
            <w:tcW w:w="2431" w:type="dxa"/>
            <w:tcBorders>
              <w:top w:val="nil"/>
              <w:left w:val="nil"/>
              <w:bottom w:val="single" w:color="auto" w:sz="8" w:space="0"/>
              <w:right w:val="single" w:color="auto" w:sz="8" w:space="0"/>
            </w:tcBorders>
            <w:shd w:val="clear" w:color="auto" w:fill="auto"/>
          </w:tcPr>
          <w:p w14:paraId="68831DC8">
            <w:pPr>
              <w:ind w:hanging="1"/>
              <w:jc w:val="right"/>
              <w:rPr>
                <w:rFonts w:eastAsia="Times New Roman"/>
                <w:sz w:val="20"/>
              </w:rPr>
            </w:pPr>
            <w:r>
              <w:rPr>
                <w:b w:val="0"/>
                <w:i w:val="0"/>
                <w:strike w:val="0"/>
                <w:u w:val="none"/>
              </w:rPr>
              <w:t>3.53</w:t>
            </w:r>
          </w:p>
        </w:tc>
      </w:tr>
      <w:tr w14:paraId="3C831FE9">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5FACF617">
            <w:pPr>
              <w:spacing w:before="100" w:beforeAutospacing="1" w:after="100" w:afterAutospacing="1"/>
              <w:ind w:hanging="1"/>
              <w:jc w:val="left"/>
            </w:pPr>
            <w:r>
              <w:rPr>
                <w:b w:val="0"/>
                <w:i w:val="0"/>
                <w:strike w:val="0"/>
                <w:u w:val="none"/>
              </w:rPr>
              <w:t>4</w:t>
            </w:r>
          </w:p>
        </w:tc>
        <w:tc>
          <w:tcPr>
            <w:tcW w:w="3159" w:type="dxa"/>
            <w:tcBorders>
              <w:top w:val="nil"/>
              <w:left w:val="nil"/>
              <w:bottom w:val="single" w:color="auto" w:sz="8" w:space="0"/>
              <w:right w:val="single" w:color="auto" w:sz="8" w:space="0"/>
            </w:tcBorders>
            <w:shd w:val="clear" w:color="auto" w:fill="auto"/>
          </w:tcPr>
          <w:p w14:paraId="08DC7E8C">
            <w:pPr>
              <w:ind w:hanging="1"/>
              <w:jc w:val="left"/>
              <w:rPr>
                <w:rFonts w:asciiTheme="majorEastAsia" w:hAnsiTheme="majorEastAsia" w:eastAsiaTheme="majorEastAsia"/>
                <w:sz w:val="20"/>
              </w:rPr>
            </w:pPr>
            <w:r>
              <w:rPr>
                <w:b w:val="0"/>
                <w:i w:val="0"/>
                <w:strike w:val="0"/>
                <w:u w:val="none"/>
              </w:rPr>
              <w:t>24渝空01</w:t>
            </w:r>
          </w:p>
        </w:tc>
        <w:tc>
          <w:tcPr>
            <w:tcW w:w="2693" w:type="dxa"/>
            <w:tcBorders>
              <w:top w:val="nil"/>
              <w:left w:val="nil"/>
              <w:bottom w:val="single" w:color="auto" w:sz="8" w:space="0"/>
              <w:right w:val="single" w:color="auto" w:sz="8" w:space="0"/>
            </w:tcBorders>
            <w:shd w:val="clear" w:color="auto" w:fill="auto"/>
          </w:tcPr>
          <w:p w14:paraId="0D01361C">
            <w:pPr>
              <w:ind w:hanging="1"/>
              <w:jc w:val="right"/>
              <w:rPr>
                <w:rFonts w:eastAsia="Times New Roman"/>
                <w:sz w:val="20"/>
              </w:rPr>
            </w:pPr>
            <w:r>
              <w:rPr>
                <w:b w:val="0"/>
                <w:i w:val="0"/>
                <w:strike w:val="0"/>
                <w:u w:val="none"/>
              </w:rPr>
              <w:t>142,499.07</w:t>
            </w:r>
          </w:p>
        </w:tc>
        <w:tc>
          <w:tcPr>
            <w:tcW w:w="2431" w:type="dxa"/>
            <w:tcBorders>
              <w:top w:val="nil"/>
              <w:left w:val="nil"/>
              <w:bottom w:val="single" w:color="auto" w:sz="8" w:space="0"/>
              <w:right w:val="single" w:color="auto" w:sz="8" w:space="0"/>
            </w:tcBorders>
            <w:shd w:val="clear" w:color="auto" w:fill="auto"/>
          </w:tcPr>
          <w:p w14:paraId="56FCED7B">
            <w:pPr>
              <w:ind w:hanging="1"/>
              <w:jc w:val="right"/>
              <w:rPr>
                <w:rFonts w:eastAsia="Times New Roman"/>
                <w:sz w:val="20"/>
              </w:rPr>
            </w:pPr>
            <w:r>
              <w:rPr>
                <w:b w:val="0"/>
                <w:i w:val="0"/>
                <w:strike w:val="0"/>
                <w:u w:val="none"/>
              </w:rPr>
              <w:t>3.51</w:t>
            </w:r>
          </w:p>
        </w:tc>
      </w:tr>
      <w:tr w14:paraId="267FFFAA">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3B748258">
            <w:pPr>
              <w:spacing w:before="100" w:beforeAutospacing="1" w:after="100" w:afterAutospacing="1"/>
              <w:ind w:hanging="1"/>
              <w:jc w:val="left"/>
            </w:pPr>
            <w:r>
              <w:rPr>
                <w:b w:val="0"/>
                <w:i w:val="0"/>
                <w:strike w:val="0"/>
                <w:u w:val="none"/>
              </w:rPr>
              <w:t>5</w:t>
            </w:r>
          </w:p>
        </w:tc>
        <w:tc>
          <w:tcPr>
            <w:tcW w:w="3159" w:type="dxa"/>
            <w:tcBorders>
              <w:top w:val="nil"/>
              <w:left w:val="nil"/>
              <w:bottom w:val="single" w:color="auto" w:sz="8" w:space="0"/>
              <w:right w:val="single" w:color="auto" w:sz="8" w:space="0"/>
            </w:tcBorders>
            <w:shd w:val="clear" w:color="auto" w:fill="auto"/>
          </w:tcPr>
          <w:p w14:paraId="4E054078">
            <w:pPr>
              <w:ind w:hanging="1"/>
              <w:jc w:val="left"/>
              <w:rPr>
                <w:rFonts w:asciiTheme="majorEastAsia" w:hAnsiTheme="majorEastAsia" w:eastAsiaTheme="majorEastAsia"/>
                <w:sz w:val="20"/>
              </w:rPr>
            </w:pPr>
            <w:r>
              <w:rPr>
                <w:b w:val="0"/>
                <w:i w:val="0"/>
                <w:strike w:val="0"/>
                <w:u w:val="none"/>
              </w:rPr>
              <w:t>24京能国际MTN005(BC)</w:t>
            </w:r>
          </w:p>
        </w:tc>
        <w:tc>
          <w:tcPr>
            <w:tcW w:w="2693" w:type="dxa"/>
            <w:tcBorders>
              <w:top w:val="nil"/>
              <w:left w:val="nil"/>
              <w:bottom w:val="single" w:color="auto" w:sz="8" w:space="0"/>
              <w:right w:val="single" w:color="auto" w:sz="8" w:space="0"/>
            </w:tcBorders>
            <w:shd w:val="clear" w:color="auto" w:fill="auto"/>
          </w:tcPr>
          <w:p w14:paraId="04432090">
            <w:pPr>
              <w:ind w:hanging="1"/>
              <w:jc w:val="right"/>
              <w:rPr>
                <w:rFonts w:eastAsia="Times New Roman"/>
                <w:sz w:val="20"/>
              </w:rPr>
            </w:pPr>
            <w:r>
              <w:rPr>
                <w:b w:val="0"/>
                <w:i w:val="0"/>
                <w:strike w:val="0"/>
                <w:u w:val="none"/>
              </w:rPr>
              <w:t>141,504.05</w:t>
            </w:r>
          </w:p>
        </w:tc>
        <w:tc>
          <w:tcPr>
            <w:tcW w:w="2431" w:type="dxa"/>
            <w:tcBorders>
              <w:top w:val="nil"/>
              <w:left w:val="nil"/>
              <w:bottom w:val="single" w:color="auto" w:sz="8" w:space="0"/>
              <w:right w:val="single" w:color="auto" w:sz="8" w:space="0"/>
            </w:tcBorders>
            <w:shd w:val="clear" w:color="auto" w:fill="auto"/>
          </w:tcPr>
          <w:p w14:paraId="3978FD76">
            <w:pPr>
              <w:ind w:hanging="1"/>
              <w:jc w:val="right"/>
              <w:rPr>
                <w:rFonts w:eastAsia="Times New Roman"/>
                <w:sz w:val="20"/>
              </w:rPr>
            </w:pPr>
            <w:r>
              <w:rPr>
                <w:b w:val="0"/>
                <w:i w:val="0"/>
                <w:strike w:val="0"/>
                <w:u w:val="none"/>
              </w:rPr>
              <w:t>3.49</w:t>
            </w:r>
          </w:p>
        </w:tc>
      </w:tr>
      <w:tr w14:paraId="798B46AF">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619A16E9">
            <w:pPr>
              <w:spacing w:before="100" w:beforeAutospacing="1" w:after="100" w:afterAutospacing="1"/>
              <w:ind w:hanging="1"/>
              <w:jc w:val="left"/>
            </w:pPr>
            <w:r>
              <w:rPr>
                <w:b w:val="0"/>
                <w:i w:val="0"/>
                <w:strike w:val="0"/>
                <w:u w:val="none"/>
              </w:rPr>
              <w:t>6</w:t>
            </w:r>
          </w:p>
        </w:tc>
        <w:tc>
          <w:tcPr>
            <w:tcW w:w="3159" w:type="dxa"/>
            <w:tcBorders>
              <w:top w:val="nil"/>
              <w:left w:val="nil"/>
              <w:bottom w:val="single" w:color="auto" w:sz="8" w:space="0"/>
              <w:right w:val="single" w:color="auto" w:sz="8" w:space="0"/>
            </w:tcBorders>
            <w:shd w:val="clear" w:color="auto" w:fill="auto"/>
          </w:tcPr>
          <w:p w14:paraId="5E66A413">
            <w:pPr>
              <w:ind w:hanging="1"/>
              <w:jc w:val="left"/>
              <w:rPr>
                <w:rFonts w:asciiTheme="majorEastAsia" w:hAnsiTheme="majorEastAsia" w:eastAsiaTheme="majorEastAsia"/>
                <w:sz w:val="20"/>
              </w:rPr>
            </w:pPr>
            <w:r>
              <w:rPr>
                <w:b w:val="0"/>
                <w:i w:val="0"/>
                <w:strike w:val="0"/>
                <w:u w:val="none"/>
              </w:rPr>
              <w:t>23余杭农商行二级资本债01</w:t>
            </w:r>
          </w:p>
        </w:tc>
        <w:tc>
          <w:tcPr>
            <w:tcW w:w="2693" w:type="dxa"/>
            <w:tcBorders>
              <w:top w:val="nil"/>
              <w:left w:val="nil"/>
              <w:bottom w:val="single" w:color="auto" w:sz="8" w:space="0"/>
              <w:right w:val="single" w:color="auto" w:sz="8" w:space="0"/>
            </w:tcBorders>
            <w:shd w:val="clear" w:color="auto" w:fill="auto"/>
          </w:tcPr>
          <w:p w14:paraId="3A40DCDF">
            <w:pPr>
              <w:ind w:hanging="1"/>
              <w:jc w:val="right"/>
              <w:rPr>
                <w:rFonts w:eastAsia="Times New Roman"/>
                <w:sz w:val="20"/>
              </w:rPr>
            </w:pPr>
            <w:r>
              <w:rPr>
                <w:b w:val="0"/>
                <w:i w:val="0"/>
                <w:strike w:val="0"/>
                <w:u w:val="none"/>
              </w:rPr>
              <w:t>113,516.00</w:t>
            </w:r>
          </w:p>
        </w:tc>
        <w:tc>
          <w:tcPr>
            <w:tcW w:w="2431" w:type="dxa"/>
            <w:tcBorders>
              <w:top w:val="nil"/>
              <w:left w:val="nil"/>
              <w:bottom w:val="single" w:color="auto" w:sz="8" w:space="0"/>
              <w:right w:val="single" w:color="auto" w:sz="8" w:space="0"/>
            </w:tcBorders>
            <w:shd w:val="clear" w:color="auto" w:fill="auto"/>
          </w:tcPr>
          <w:p w14:paraId="233E9069">
            <w:pPr>
              <w:ind w:hanging="1"/>
              <w:jc w:val="right"/>
              <w:rPr>
                <w:rFonts w:eastAsia="Times New Roman"/>
                <w:sz w:val="20"/>
              </w:rPr>
            </w:pPr>
            <w:r>
              <w:rPr>
                <w:b w:val="0"/>
                <w:i w:val="0"/>
                <w:strike w:val="0"/>
                <w:u w:val="none"/>
              </w:rPr>
              <w:t>2.80</w:t>
            </w:r>
          </w:p>
        </w:tc>
      </w:tr>
      <w:tr w14:paraId="41788DD6">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7063DE63">
            <w:pPr>
              <w:spacing w:before="100" w:beforeAutospacing="1" w:after="100" w:afterAutospacing="1"/>
              <w:ind w:hanging="1"/>
              <w:jc w:val="left"/>
            </w:pPr>
            <w:r>
              <w:rPr>
                <w:b w:val="0"/>
                <w:i w:val="0"/>
                <w:strike w:val="0"/>
                <w:u w:val="none"/>
              </w:rPr>
              <w:t>7</w:t>
            </w:r>
          </w:p>
        </w:tc>
        <w:tc>
          <w:tcPr>
            <w:tcW w:w="3159" w:type="dxa"/>
            <w:tcBorders>
              <w:top w:val="nil"/>
              <w:left w:val="nil"/>
              <w:bottom w:val="single" w:color="auto" w:sz="8" w:space="0"/>
              <w:right w:val="single" w:color="auto" w:sz="8" w:space="0"/>
            </w:tcBorders>
            <w:shd w:val="clear" w:color="auto" w:fill="auto"/>
          </w:tcPr>
          <w:p w14:paraId="78106F7A">
            <w:pPr>
              <w:ind w:hanging="1"/>
              <w:jc w:val="left"/>
              <w:rPr>
                <w:rFonts w:asciiTheme="majorEastAsia" w:hAnsiTheme="majorEastAsia" w:eastAsiaTheme="majorEastAsia"/>
                <w:sz w:val="20"/>
              </w:rPr>
            </w:pPr>
            <w:r>
              <w:rPr>
                <w:b w:val="0"/>
                <w:i w:val="0"/>
                <w:strike w:val="0"/>
                <w:u w:val="none"/>
              </w:rPr>
              <w:t>23南司01</w:t>
            </w:r>
          </w:p>
        </w:tc>
        <w:tc>
          <w:tcPr>
            <w:tcW w:w="2693" w:type="dxa"/>
            <w:tcBorders>
              <w:top w:val="nil"/>
              <w:left w:val="nil"/>
              <w:bottom w:val="single" w:color="auto" w:sz="8" w:space="0"/>
              <w:right w:val="single" w:color="auto" w:sz="8" w:space="0"/>
            </w:tcBorders>
            <w:shd w:val="clear" w:color="auto" w:fill="auto"/>
          </w:tcPr>
          <w:p w14:paraId="6A9511DD">
            <w:pPr>
              <w:ind w:hanging="1"/>
              <w:jc w:val="right"/>
              <w:rPr>
                <w:rFonts w:eastAsia="Times New Roman"/>
                <w:sz w:val="20"/>
              </w:rPr>
            </w:pPr>
            <w:r>
              <w:rPr>
                <w:b w:val="0"/>
                <w:i w:val="0"/>
                <w:strike w:val="0"/>
                <w:u w:val="none"/>
              </w:rPr>
              <w:t>112,292.76</w:t>
            </w:r>
          </w:p>
        </w:tc>
        <w:tc>
          <w:tcPr>
            <w:tcW w:w="2431" w:type="dxa"/>
            <w:tcBorders>
              <w:top w:val="nil"/>
              <w:left w:val="nil"/>
              <w:bottom w:val="single" w:color="auto" w:sz="8" w:space="0"/>
              <w:right w:val="single" w:color="auto" w:sz="8" w:space="0"/>
            </w:tcBorders>
            <w:shd w:val="clear" w:color="auto" w:fill="auto"/>
          </w:tcPr>
          <w:p w14:paraId="75963DB7">
            <w:pPr>
              <w:ind w:hanging="1"/>
              <w:jc w:val="right"/>
              <w:rPr>
                <w:rFonts w:eastAsia="Times New Roman"/>
                <w:sz w:val="20"/>
              </w:rPr>
            </w:pPr>
            <w:r>
              <w:rPr>
                <w:b w:val="0"/>
                <w:i w:val="0"/>
                <w:strike w:val="0"/>
                <w:u w:val="none"/>
              </w:rPr>
              <w:t>2.77</w:t>
            </w:r>
          </w:p>
        </w:tc>
      </w:tr>
      <w:tr w14:paraId="3A7DC4AE">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52CA7AF6">
            <w:pPr>
              <w:spacing w:before="100" w:beforeAutospacing="1" w:after="100" w:afterAutospacing="1"/>
              <w:ind w:hanging="1"/>
              <w:jc w:val="left"/>
            </w:pPr>
            <w:r>
              <w:rPr>
                <w:b w:val="0"/>
                <w:i w:val="0"/>
                <w:strike w:val="0"/>
                <w:u w:val="none"/>
              </w:rPr>
              <w:t>8</w:t>
            </w:r>
          </w:p>
        </w:tc>
        <w:tc>
          <w:tcPr>
            <w:tcW w:w="3159" w:type="dxa"/>
            <w:tcBorders>
              <w:top w:val="nil"/>
              <w:left w:val="nil"/>
              <w:bottom w:val="single" w:color="auto" w:sz="8" w:space="0"/>
              <w:right w:val="single" w:color="auto" w:sz="8" w:space="0"/>
            </w:tcBorders>
            <w:shd w:val="clear" w:color="auto" w:fill="auto"/>
          </w:tcPr>
          <w:p w14:paraId="5E146D98">
            <w:pPr>
              <w:ind w:hanging="1"/>
              <w:jc w:val="left"/>
              <w:rPr>
                <w:rFonts w:asciiTheme="majorEastAsia" w:hAnsiTheme="majorEastAsia" w:eastAsiaTheme="majorEastAsia"/>
                <w:sz w:val="20"/>
              </w:rPr>
            </w:pPr>
            <w:r>
              <w:rPr>
                <w:b w:val="0"/>
                <w:i w:val="0"/>
                <w:strike w:val="0"/>
                <w:u w:val="none"/>
              </w:rPr>
              <w:t>23阳光人寿资本补充债01</w:t>
            </w:r>
          </w:p>
        </w:tc>
        <w:tc>
          <w:tcPr>
            <w:tcW w:w="2693" w:type="dxa"/>
            <w:tcBorders>
              <w:top w:val="nil"/>
              <w:left w:val="nil"/>
              <w:bottom w:val="single" w:color="auto" w:sz="8" w:space="0"/>
              <w:right w:val="single" w:color="auto" w:sz="8" w:space="0"/>
            </w:tcBorders>
            <w:shd w:val="clear" w:color="auto" w:fill="auto"/>
          </w:tcPr>
          <w:p w14:paraId="7084A5E1">
            <w:pPr>
              <w:ind w:hanging="1"/>
              <w:jc w:val="right"/>
              <w:rPr>
                <w:rFonts w:eastAsia="Times New Roman"/>
                <w:sz w:val="20"/>
              </w:rPr>
            </w:pPr>
            <w:r>
              <w:rPr>
                <w:b w:val="0"/>
                <w:i w:val="0"/>
                <w:strike w:val="0"/>
                <w:u w:val="none"/>
              </w:rPr>
              <w:t>109,933.95</w:t>
            </w:r>
          </w:p>
        </w:tc>
        <w:tc>
          <w:tcPr>
            <w:tcW w:w="2431" w:type="dxa"/>
            <w:tcBorders>
              <w:top w:val="nil"/>
              <w:left w:val="nil"/>
              <w:bottom w:val="single" w:color="auto" w:sz="8" w:space="0"/>
              <w:right w:val="single" w:color="auto" w:sz="8" w:space="0"/>
            </w:tcBorders>
            <w:shd w:val="clear" w:color="auto" w:fill="auto"/>
          </w:tcPr>
          <w:p w14:paraId="34CF3087">
            <w:pPr>
              <w:ind w:hanging="1"/>
              <w:jc w:val="right"/>
              <w:rPr>
                <w:rFonts w:eastAsia="Times New Roman"/>
                <w:sz w:val="20"/>
              </w:rPr>
            </w:pPr>
            <w:r>
              <w:rPr>
                <w:b w:val="0"/>
                <w:i w:val="0"/>
                <w:strike w:val="0"/>
                <w:u w:val="none"/>
              </w:rPr>
              <w:t>2.71</w:t>
            </w:r>
          </w:p>
        </w:tc>
      </w:tr>
      <w:tr w14:paraId="742FB136">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2D4CB09F">
            <w:pPr>
              <w:spacing w:before="100" w:beforeAutospacing="1" w:after="100" w:afterAutospacing="1"/>
              <w:ind w:hanging="1"/>
              <w:jc w:val="left"/>
            </w:pPr>
            <w:r>
              <w:rPr>
                <w:b w:val="0"/>
                <w:i w:val="0"/>
                <w:strike w:val="0"/>
                <w:u w:val="none"/>
              </w:rPr>
              <w:t>9</w:t>
            </w:r>
          </w:p>
        </w:tc>
        <w:tc>
          <w:tcPr>
            <w:tcW w:w="3159" w:type="dxa"/>
            <w:tcBorders>
              <w:top w:val="nil"/>
              <w:left w:val="nil"/>
              <w:bottom w:val="single" w:color="auto" w:sz="8" w:space="0"/>
              <w:right w:val="single" w:color="auto" w:sz="8" w:space="0"/>
            </w:tcBorders>
            <w:shd w:val="clear" w:color="auto" w:fill="auto"/>
          </w:tcPr>
          <w:p w14:paraId="137D787B">
            <w:pPr>
              <w:ind w:hanging="1"/>
              <w:jc w:val="left"/>
              <w:rPr>
                <w:rFonts w:asciiTheme="majorEastAsia" w:hAnsiTheme="majorEastAsia" w:eastAsiaTheme="majorEastAsia"/>
                <w:sz w:val="20"/>
              </w:rPr>
            </w:pPr>
            <w:r>
              <w:rPr>
                <w:b w:val="0"/>
                <w:i w:val="0"/>
                <w:strike w:val="0"/>
                <w:u w:val="none"/>
              </w:rPr>
              <w:t>23合川投资PPN002</w:t>
            </w:r>
          </w:p>
        </w:tc>
        <w:tc>
          <w:tcPr>
            <w:tcW w:w="2693" w:type="dxa"/>
            <w:tcBorders>
              <w:top w:val="nil"/>
              <w:left w:val="nil"/>
              <w:bottom w:val="single" w:color="auto" w:sz="8" w:space="0"/>
              <w:right w:val="single" w:color="auto" w:sz="8" w:space="0"/>
            </w:tcBorders>
            <w:shd w:val="clear" w:color="auto" w:fill="auto"/>
          </w:tcPr>
          <w:p w14:paraId="37CBA76A">
            <w:pPr>
              <w:ind w:hanging="1"/>
              <w:jc w:val="right"/>
              <w:rPr>
                <w:rFonts w:eastAsia="Times New Roman"/>
                <w:sz w:val="20"/>
              </w:rPr>
            </w:pPr>
            <w:r>
              <w:rPr>
                <w:b w:val="0"/>
                <w:i w:val="0"/>
                <w:strike w:val="0"/>
                <w:u w:val="none"/>
              </w:rPr>
              <w:t>108,372.62</w:t>
            </w:r>
          </w:p>
        </w:tc>
        <w:tc>
          <w:tcPr>
            <w:tcW w:w="2431" w:type="dxa"/>
            <w:tcBorders>
              <w:top w:val="nil"/>
              <w:left w:val="nil"/>
              <w:bottom w:val="single" w:color="auto" w:sz="8" w:space="0"/>
              <w:right w:val="single" w:color="auto" w:sz="8" w:space="0"/>
            </w:tcBorders>
            <w:shd w:val="clear" w:color="auto" w:fill="auto"/>
          </w:tcPr>
          <w:p w14:paraId="7AD54395">
            <w:pPr>
              <w:ind w:hanging="1"/>
              <w:jc w:val="right"/>
              <w:rPr>
                <w:rFonts w:eastAsia="Times New Roman"/>
                <w:sz w:val="20"/>
              </w:rPr>
            </w:pPr>
            <w:r>
              <w:rPr>
                <w:b w:val="0"/>
                <w:i w:val="0"/>
                <w:strike w:val="0"/>
                <w:u w:val="none"/>
              </w:rPr>
              <w:t>2.67</w:t>
            </w:r>
          </w:p>
        </w:tc>
      </w:tr>
      <w:tr w14:paraId="586D1829">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7EB761AC">
            <w:pPr>
              <w:spacing w:before="100" w:beforeAutospacing="1" w:after="100" w:afterAutospacing="1"/>
              <w:ind w:hanging="1"/>
              <w:jc w:val="left"/>
            </w:pPr>
            <w:r>
              <w:rPr>
                <w:b w:val="0"/>
                <w:i w:val="0"/>
                <w:strike w:val="0"/>
                <w:u w:val="none"/>
              </w:rPr>
              <w:t>10</w:t>
            </w:r>
          </w:p>
        </w:tc>
        <w:tc>
          <w:tcPr>
            <w:tcW w:w="3159" w:type="dxa"/>
            <w:tcBorders>
              <w:top w:val="nil"/>
              <w:left w:val="nil"/>
              <w:bottom w:val="single" w:color="auto" w:sz="8" w:space="0"/>
              <w:right w:val="single" w:color="auto" w:sz="8" w:space="0"/>
            </w:tcBorders>
            <w:shd w:val="clear" w:color="auto" w:fill="auto"/>
          </w:tcPr>
          <w:p w14:paraId="2A4271A3">
            <w:pPr>
              <w:ind w:hanging="1"/>
              <w:jc w:val="left"/>
              <w:rPr>
                <w:rFonts w:asciiTheme="majorEastAsia" w:hAnsiTheme="majorEastAsia" w:eastAsiaTheme="majorEastAsia"/>
                <w:sz w:val="20"/>
              </w:rPr>
            </w:pPr>
            <w:r>
              <w:rPr>
                <w:b w:val="0"/>
                <w:i w:val="0"/>
                <w:strike w:val="0"/>
                <w:u w:val="none"/>
              </w:rPr>
              <w:t>23胶州03</w:t>
            </w:r>
          </w:p>
        </w:tc>
        <w:tc>
          <w:tcPr>
            <w:tcW w:w="2693" w:type="dxa"/>
            <w:tcBorders>
              <w:top w:val="nil"/>
              <w:left w:val="nil"/>
              <w:bottom w:val="single" w:color="auto" w:sz="8" w:space="0"/>
              <w:right w:val="single" w:color="auto" w:sz="8" w:space="0"/>
            </w:tcBorders>
            <w:shd w:val="clear" w:color="auto" w:fill="auto"/>
          </w:tcPr>
          <w:p w14:paraId="72FA9237">
            <w:pPr>
              <w:ind w:hanging="1"/>
              <w:jc w:val="right"/>
              <w:rPr>
                <w:rFonts w:eastAsia="Times New Roman"/>
                <w:sz w:val="20"/>
              </w:rPr>
            </w:pPr>
            <w:r>
              <w:rPr>
                <w:b w:val="0"/>
                <w:i w:val="0"/>
                <w:strike w:val="0"/>
                <w:u w:val="none"/>
              </w:rPr>
              <w:t>108,367.29</w:t>
            </w:r>
          </w:p>
        </w:tc>
        <w:tc>
          <w:tcPr>
            <w:tcW w:w="2431" w:type="dxa"/>
            <w:tcBorders>
              <w:top w:val="nil"/>
              <w:left w:val="nil"/>
              <w:bottom w:val="single" w:color="auto" w:sz="8" w:space="0"/>
              <w:right w:val="single" w:color="auto" w:sz="8" w:space="0"/>
            </w:tcBorders>
            <w:shd w:val="clear" w:color="auto" w:fill="auto"/>
          </w:tcPr>
          <w:p w14:paraId="072242B5">
            <w:pPr>
              <w:ind w:hanging="1"/>
              <w:jc w:val="right"/>
              <w:rPr>
                <w:rFonts w:eastAsia="Times New Roman"/>
                <w:sz w:val="20"/>
              </w:rPr>
            </w:pPr>
            <w:r>
              <w:rPr>
                <w:b w:val="0"/>
                <w:i w:val="0"/>
                <w:strike w:val="0"/>
                <w:u w:val="none"/>
              </w:rPr>
              <w:t>2.67</w:t>
            </w:r>
          </w:p>
        </w:tc>
      </w:tr>
    </w:tbl>
    <w:p w14:paraId="26225C82">
      <w:pPr>
        <w:spacing w:before="100" w:beforeAutospacing="1" w:after="100" w:afterAutospacing="1"/>
      </w:pPr>
      <w:r>
        <w:rPr>
          <w:rFonts w:hint="eastAsia"/>
        </w:rPr>
        <w:t>注：前十项资产明细仅包含证券投资、场外投资，不包含银行活期存款、存出保证金、清算备付金等资产。</w:t>
      </w:r>
    </w:p>
    <w:p w14:paraId="4F4495F9">
      <w:pPr>
        <w:pStyle w:val="40"/>
      </w:pPr>
      <w:r>
        <w:t>托管人报告</w:t>
      </w:r>
    </w:p>
    <w:p w14:paraId="25A17C0B">
      <w:pPr>
        <w:spacing w:line="360" w:lineRule="auto"/>
        <w:ind w:right="-107" w:rightChars="-51"/>
        <w:jc w:val="left"/>
        <w:rPr>
          <w:rFonts w:hint="eastAsia" w:ascii="宋体" w:hAnsi="宋体"/>
          <w:szCs w:val="21"/>
        </w:rPr>
      </w:pPr>
      <w:r>
        <w:rPr>
          <w:rFonts w:hint="eastAsia" w:ascii="宋体" w:hAnsi="宋体"/>
          <w:szCs w:val="21"/>
        </w:rPr>
        <w:t>5.1、托管人履职情况</w:t>
      </w:r>
    </w:p>
    <w:p w14:paraId="0F4CB514">
      <w:pPr>
        <w:spacing w:line="360" w:lineRule="auto"/>
        <w:ind w:right="-107" w:rightChars="-51"/>
        <w:jc w:val="left"/>
        <w:rPr>
          <w:rFonts w:hint="eastAsia" w:ascii="宋体" w:hAnsi="宋体"/>
          <w:szCs w:val="21"/>
        </w:rPr>
      </w:pPr>
      <w:r>
        <w:rPr>
          <w:rFonts w:hint="eastAsia" w:ascii="宋体" w:hAnsi="宋体"/>
          <w:szCs w:val="21"/>
        </w:rPr>
        <w:t>（一）托管资产保管</w:t>
      </w:r>
    </w:p>
    <w:p w14:paraId="72FED5C8">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C2760BB">
      <w:pPr>
        <w:spacing w:line="360" w:lineRule="auto"/>
        <w:ind w:right="-107" w:rightChars="-51"/>
        <w:jc w:val="left"/>
        <w:rPr>
          <w:rFonts w:hint="eastAsia" w:ascii="宋体" w:hAnsi="宋体"/>
          <w:szCs w:val="21"/>
        </w:rPr>
      </w:pPr>
      <w:r>
        <w:rPr>
          <w:rFonts w:hint="eastAsia" w:ascii="宋体" w:hAnsi="宋体"/>
          <w:szCs w:val="21"/>
        </w:rPr>
        <w:t>（二）会计核算和估值</w:t>
      </w:r>
    </w:p>
    <w:p w14:paraId="57734CEC">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BA83407">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B15672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7ADDA25">
      <w:pPr>
        <w:spacing w:line="360" w:lineRule="auto"/>
        <w:ind w:right="-107" w:rightChars="-51"/>
        <w:jc w:val="left"/>
        <w:rPr>
          <w:rFonts w:hint="eastAsia" w:ascii="宋体" w:hAnsi="宋体"/>
          <w:szCs w:val="21"/>
        </w:rPr>
      </w:pPr>
      <w:r>
        <w:rPr>
          <w:rFonts w:hint="eastAsia" w:ascii="宋体" w:hAnsi="宋体"/>
          <w:szCs w:val="21"/>
        </w:rPr>
        <w:t>（四）投资监督</w:t>
      </w:r>
    </w:p>
    <w:p w14:paraId="0D47457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5F05861">
      <w:pPr>
        <w:spacing w:line="360" w:lineRule="auto"/>
        <w:ind w:right="-107" w:rightChars="-51"/>
        <w:jc w:val="left"/>
        <w:rPr>
          <w:rFonts w:hint="eastAsia" w:ascii="宋体" w:hAnsi="宋体"/>
          <w:szCs w:val="21"/>
        </w:rPr>
      </w:pPr>
      <w:r>
        <w:rPr>
          <w:rFonts w:hint="eastAsia" w:ascii="宋体" w:hAnsi="宋体"/>
          <w:szCs w:val="21"/>
        </w:rPr>
        <w:t>5.2、托管人声明</w:t>
      </w:r>
    </w:p>
    <w:p w14:paraId="3945D21D">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B177D70">
      <w:pPr>
        <w:jc w:val="right"/>
        <w:rPr>
          <w:rFonts w:ascii="宋体" w:hAnsi="宋体"/>
          <w:sz w:val="24"/>
        </w:rPr>
      </w:pPr>
    </w:p>
    <w:p w14:paraId="061C9149">
      <w:pPr>
        <w:jc w:val="right"/>
        <w:rPr>
          <w:rFonts w:ascii="宋体" w:hAnsi="宋体"/>
          <w:sz w:val="28"/>
          <w:szCs w:val="28"/>
        </w:rPr>
      </w:pPr>
      <w:r>
        <w:rPr>
          <w:rFonts w:ascii="宋体" w:hAnsi="宋体"/>
          <w:sz w:val="28"/>
          <w:szCs w:val="28"/>
        </w:rPr>
        <w:t>浙江桐庐农村商业银行股份有限公司</w:t>
      </w:r>
    </w:p>
    <w:p w14:paraId="43D7AE4A">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E7BCF">
    <w:pPr>
      <w:pStyle w:val="10"/>
      <w:framePr w:wrap="around" w:vAnchor="text" w:hAnchor="margin" w:xAlign="right" w:y="1"/>
      <w:rPr>
        <w:rStyle w:val="20"/>
      </w:rPr>
    </w:pPr>
    <w:r>
      <w:rPr>
        <w:rStyle w:val="20"/>
        <w:rFonts w:hint="eastAsia"/>
      </w:rPr>
      <w:t xml:space="preserve"> </w:t>
    </w:r>
  </w:p>
  <w:p w14:paraId="4DA001A3">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B51B9">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36D7CB74">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5B57668"/>
    <w:rsid w:val="13D4665E"/>
    <w:rsid w:val="1DD13355"/>
    <w:rsid w:val="1F246194"/>
    <w:rsid w:val="30D863E3"/>
    <w:rsid w:val="35844C1F"/>
    <w:rsid w:val="378A66D0"/>
    <w:rsid w:val="63BE4DA7"/>
    <w:rsid w:val="6CB6511A"/>
    <w:rsid w:val="6DB715FD"/>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994</Words>
  <Characters>1434</Characters>
  <Lines>14</Lines>
  <Paragraphs>4</Paragraphs>
  <TotalTime>0</TotalTime>
  <ScaleCrop>false</ScaleCrop>
  <LinksUpToDate>false</LinksUpToDate>
  <CharactersWithSpaces>1471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叶淑珊</cp:lastModifiedBy>
  <cp:lastPrinted>2411-12-31T16:00:00Z</cp:lastPrinted>
  <dcterms:modified xsi:type="dcterms:W3CDTF">2025-04-18T00:25:51Z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y fmtid="{D5CDD505-2E9C-101B-9397-08002B2CF9AE}" pid="6" name="KSOTemplateDocerSaveRecord">
    <vt:lpwstr>eyJoZGlkIjoiOWIxZTQ0Y2U3OTQ2NWY3NzMxNjc2MWQ1NzU0NTVlYmMiLCJ1c2VySWQiOiI0MTk3MDc1NTcifQ==</vt:lpwstr>
  </property>
</Properties>
</file>