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8A8579">
      <w:pPr>
        <w:rPr>
          <w:sz w:val="48"/>
        </w:rPr>
      </w:pPr>
    </w:p>
    <w:p w14:paraId="44B3EEFC">
      <w:pPr>
        <w:rPr>
          <w:sz w:val="48"/>
        </w:rPr>
      </w:pPr>
    </w:p>
    <w:p w14:paraId="1C464708">
      <w:pPr>
        <w:jc w:val="center"/>
        <w:rPr>
          <w:rFonts w:ascii="宋体" w:hAnsi="宋体"/>
          <w:b/>
          <w:bCs/>
          <w:sz w:val="48"/>
          <w:szCs w:val="30"/>
        </w:rPr>
      </w:pPr>
      <w:r>
        <w:rPr>
          <w:rFonts w:ascii="宋体" w:hAnsi="宋体"/>
          <w:b/>
          <w:bCs/>
          <w:sz w:val="48"/>
          <w:szCs w:val="30"/>
        </w:rPr>
        <w:t>桐庐农商银行丰收信福封闭净值型2024年第38期理财产品</w:t>
      </w:r>
    </w:p>
    <w:p w14:paraId="36DF6F34">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45771411">
      <w:pPr>
        <w:jc w:val="center"/>
        <w:rPr>
          <w:rFonts w:ascii="宋体" w:hAnsi="宋体"/>
          <w:b/>
          <w:bCs/>
          <w:sz w:val="28"/>
          <w:szCs w:val="30"/>
        </w:rPr>
      </w:pPr>
    </w:p>
    <w:p w14:paraId="6F28F363">
      <w:pPr>
        <w:jc w:val="center"/>
        <w:rPr>
          <w:rFonts w:ascii="宋体" w:hAnsi="宋体"/>
          <w:sz w:val="28"/>
          <w:szCs w:val="30"/>
        </w:rPr>
      </w:pPr>
    </w:p>
    <w:p w14:paraId="5EA77D1D">
      <w:pPr>
        <w:jc w:val="center"/>
        <w:rPr>
          <w:rFonts w:ascii="宋体" w:hAnsi="宋体"/>
          <w:sz w:val="28"/>
          <w:szCs w:val="30"/>
        </w:rPr>
      </w:pPr>
    </w:p>
    <w:p w14:paraId="2D32DB7D">
      <w:pPr>
        <w:jc w:val="center"/>
        <w:rPr>
          <w:rFonts w:ascii="宋体" w:hAnsi="宋体"/>
          <w:sz w:val="28"/>
          <w:szCs w:val="30"/>
        </w:rPr>
      </w:pPr>
    </w:p>
    <w:p w14:paraId="65CF61A5">
      <w:pPr>
        <w:jc w:val="center"/>
        <w:rPr>
          <w:rFonts w:ascii="宋体" w:hAnsi="宋体"/>
          <w:sz w:val="28"/>
          <w:szCs w:val="30"/>
        </w:rPr>
      </w:pPr>
    </w:p>
    <w:p w14:paraId="5785B7E0">
      <w:pPr>
        <w:jc w:val="center"/>
        <w:rPr>
          <w:rFonts w:ascii="宋体" w:hAnsi="宋体"/>
          <w:sz w:val="28"/>
          <w:szCs w:val="30"/>
        </w:rPr>
      </w:pPr>
    </w:p>
    <w:p w14:paraId="57C4F7F2">
      <w:pPr>
        <w:jc w:val="center"/>
        <w:rPr>
          <w:rFonts w:ascii="宋体" w:hAnsi="宋体"/>
          <w:sz w:val="28"/>
          <w:szCs w:val="30"/>
        </w:rPr>
      </w:pPr>
    </w:p>
    <w:p w14:paraId="00FF29D9">
      <w:pPr>
        <w:jc w:val="center"/>
        <w:rPr>
          <w:rFonts w:ascii="宋体" w:hAnsi="宋体"/>
          <w:sz w:val="28"/>
          <w:szCs w:val="30"/>
        </w:rPr>
      </w:pPr>
    </w:p>
    <w:p w14:paraId="5701839A">
      <w:pPr>
        <w:jc w:val="center"/>
        <w:rPr>
          <w:rFonts w:ascii="宋体" w:hAnsi="宋体"/>
          <w:sz w:val="28"/>
          <w:szCs w:val="30"/>
        </w:rPr>
      </w:pPr>
    </w:p>
    <w:p w14:paraId="1DC5024A">
      <w:pPr>
        <w:jc w:val="center"/>
        <w:rPr>
          <w:rFonts w:ascii="宋体" w:hAnsi="宋体"/>
          <w:sz w:val="28"/>
          <w:szCs w:val="30"/>
        </w:rPr>
      </w:pPr>
    </w:p>
    <w:p w14:paraId="30D4BABE">
      <w:pPr>
        <w:jc w:val="center"/>
        <w:rPr>
          <w:rFonts w:ascii="宋体" w:hAnsi="宋体"/>
          <w:sz w:val="28"/>
          <w:szCs w:val="30"/>
        </w:rPr>
      </w:pPr>
    </w:p>
    <w:p w14:paraId="0BCEB4ED">
      <w:pPr>
        <w:jc w:val="center"/>
        <w:rPr>
          <w:rFonts w:ascii="宋体" w:hAnsi="宋体"/>
          <w:sz w:val="28"/>
          <w:szCs w:val="30"/>
        </w:rPr>
      </w:pPr>
    </w:p>
    <w:p w14:paraId="528C5FF4">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10D80070">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23B6170E">
      <w:pPr>
        <w:ind w:firstLine="1680" w:firstLineChars="600"/>
        <w:jc w:val="left"/>
        <w:rPr>
          <w:rFonts w:ascii="宋体" w:hAnsi="宋体"/>
          <w:sz w:val="28"/>
          <w:szCs w:val="30"/>
        </w:rPr>
      </w:pPr>
    </w:p>
    <w:p w14:paraId="030FC2B2">
      <w:pPr>
        <w:ind w:firstLine="1680" w:firstLineChars="600"/>
        <w:jc w:val="left"/>
        <w:rPr>
          <w:rFonts w:ascii="宋体" w:hAnsi="宋体"/>
          <w:sz w:val="28"/>
          <w:szCs w:val="30"/>
        </w:rPr>
      </w:pPr>
    </w:p>
    <w:p w14:paraId="246EE753">
      <w:pPr>
        <w:ind w:firstLine="1680" w:firstLineChars="600"/>
        <w:jc w:val="left"/>
        <w:rPr>
          <w:rFonts w:ascii="宋体" w:hAnsi="宋体"/>
          <w:sz w:val="28"/>
          <w:szCs w:val="30"/>
        </w:rPr>
      </w:pPr>
    </w:p>
    <w:p w14:paraId="72CAA082">
      <w:pPr>
        <w:rPr>
          <w:rFonts w:ascii="宋体" w:hAnsi="宋体"/>
          <w:sz w:val="28"/>
          <w:szCs w:val="30"/>
        </w:rPr>
      </w:pPr>
    </w:p>
    <w:p w14:paraId="7184D4C7">
      <w:pPr>
        <w:jc w:val="center"/>
        <w:rPr>
          <w:rFonts w:ascii="宋体" w:hAnsi="宋体"/>
          <w:b/>
          <w:bCs/>
          <w:sz w:val="28"/>
          <w:szCs w:val="30"/>
        </w:rPr>
      </w:pPr>
    </w:p>
    <w:p w14:paraId="0A1B719C">
      <w:pPr>
        <w:jc w:val="center"/>
        <w:rPr>
          <w:rFonts w:ascii="宋体" w:hAnsi="宋体"/>
          <w:b/>
          <w:bCs/>
          <w:sz w:val="28"/>
          <w:szCs w:val="30"/>
        </w:rPr>
      </w:pPr>
      <w:r>
        <w:rPr>
          <w:rFonts w:hint="eastAsia" w:ascii="宋体" w:hAnsi="宋体"/>
          <w:b/>
          <w:bCs/>
          <w:sz w:val="28"/>
          <w:szCs w:val="30"/>
        </w:rPr>
        <w:t>重要提示</w:t>
      </w:r>
    </w:p>
    <w:p w14:paraId="5D06C2E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EAD5FC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251F22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516995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1CDE7637">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241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14:paraId="6B6F205D">
            <w:pPr>
              <w:jc w:val="left"/>
              <w:rPr>
                <w:rFonts w:ascii="宋体" w:hAnsi="宋体"/>
                <w:b/>
                <w:szCs w:val="21"/>
              </w:rPr>
            </w:pPr>
            <w:r>
              <w:rPr>
                <w:rFonts w:hint="eastAsia" w:ascii="宋体" w:hAnsi="宋体"/>
                <w:b/>
                <w:szCs w:val="21"/>
              </w:rPr>
              <w:t>项目</w:t>
            </w:r>
          </w:p>
        </w:tc>
        <w:tc>
          <w:tcPr>
            <w:tcW w:w="5027" w:type="dxa"/>
            <w:vAlign w:val="center"/>
          </w:tcPr>
          <w:p w14:paraId="2E0C4F86">
            <w:pPr>
              <w:jc w:val="left"/>
              <w:rPr>
                <w:rFonts w:ascii="宋体" w:hAnsi="宋体"/>
                <w:b/>
              </w:rPr>
            </w:pPr>
            <w:r>
              <w:rPr>
                <w:rFonts w:hint="eastAsia" w:ascii="宋体" w:hAnsi="宋体"/>
                <w:b/>
              </w:rPr>
              <w:t>信息</w:t>
            </w:r>
          </w:p>
        </w:tc>
      </w:tr>
      <w:tr w14:paraId="27F0D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0E248C">
            <w:pPr>
              <w:jc w:val="left"/>
              <w:rPr>
                <w:rFonts w:ascii="宋体" w:hAnsi="宋体"/>
              </w:rPr>
            </w:pPr>
            <w:r>
              <w:rPr>
                <w:rFonts w:hint="eastAsia" w:ascii="宋体" w:hAnsi="宋体"/>
                <w:szCs w:val="21"/>
              </w:rPr>
              <w:t>产品名称</w:t>
            </w:r>
          </w:p>
        </w:tc>
        <w:tc>
          <w:tcPr>
            <w:tcW w:w="5027" w:type="dxa"/>
            <w:vAlign w:val="center"/>
          </w:tcPr>
          <w:p w14:paraId="3E22440F">
            <w:pPr>
              <w:jc w:val="left"/>
              <w:rPr>
                <w:rFonts w:ascii="宋体" w:hAnsi="宋体"/>
              </w:rPr>
            </w:pPr>
            <w:r>
              <w:rPr>
                <w:rFonts w:hint="eastAsia" w:ascii="宋体" w:hAnsi="宋体"/>
              </w:rPr>
              <w:t>桐庐农商银行丰收信福封闭净值型2024年第38期理财产品</w:t>
            </w:r>
          </w:p>
        </w:tc>
      </w:tr>
      <w:tr w14:paraId="1481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F20FB2">
            <w:pPr>
              <w:rPr>
                <w:rFonts w:ascii="宋体" w:hAnsi="宋体"/>
              </w:rPr>
            </w:pPr>
            <w:r>
              <w:rPr>
                <w:rFonts w:hint="eastAsia" w:ascii="宋体" w:hAnsi="宋体"/>
                <w:szCs w:val="21"/>
              </w:rPr>
              <w:t>产品登记编码</w:t>
            </w:r>
          </w:p>
        </w:tc>
        <w:tc>
          <w:tcPr>
            <w:tcW w:w="5027" w:type="dxa"/>
            <w:vAlign w:val="center"/>
          </w:tcPr>
          <w:p w14:paraId="4C3177A6">
            <w:pPr>
              <w:jc w:val="left"/>
              <w:rPr>
                <w:rFonts w:ascii="宋体" w:hAnsi="宋体"/>
              </w:rPr>
            </w:pPr>
            <w:r>
              <w:rPr>
                <w:rFonts w:ascii="宋体" w:hAnsi="宋体"/>
              </w:rPr>
              <w:t>C1123124000035</w:t>
            </w:r>
          </w:p>
        </w:tc>
      </w:tr>
      <w:tr w14:paraId="1BF5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54D46D">
            <w:pPr>
              <w:ind w:right="-107" w:rightChars="-51"/>
              <w:jc w:val="left"/>
              <w:rPr>
                <w:rFonts w:ascii="宋体" w:hAnsi="宋体"/>
              </w:rPr>
            </w:pPr>
            <w:r>
              <w:rPr>
                <w:rFonts w:hint="eastAsia" w:ascii="宋体" w:hAnsi="宋体"/>
                <w:szCs w:val="21"/>
              </w:rPr>
              <w:t>产品管理人</w:t>
            </w:r>
          </w:p>
        </w:tc>
        <w:tc>
          <w:tcPr>
            <w:tcW w:w="5027" w:type="dxa"/>
            <w:vAlign w:val="center"/>
          </w:tcPr>
          <w:p w14:paraId="5B0AD2CE">
            <w:pPr>
              <w:jc w:val="left"/>
              <w:rPr>
                <w:rFonts w:ascii="宋体" w:hAnsi="宋体"/>
              </w:rPr>
            </w:pPr>
            <w:r>
              <w:rPr>
                <w:rFonts w:hint="eastAsia" w:ascii="宋体" w:hAnsi="宋体"/>
              </w:rPr>
              <w:t>浙江桐庐农村商业银行股份有限公司</w:t>
            </w:r>
          </w:p>
        </w:tc>
      </w:tr>
      <w:tr w14:paraId="3C8B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5267B6">
            <w:pPr>
              <w:jc w:val="left"/>
              <w:rPr>
                <w:rFonts w:ascii="宋体" w:hAnsi="宋体"/>
              </w:rPr>
            </w:pPr>
            <w:r>
              <w:rPr>
                <w:rFonts w:hint="eastAsia" w:ascii="宋体" w:hAnsi="宋体"/>
                <w:szCs w:val="21"/>
              </w:rPr>
              <w:t>产品托管人</w:t>
            </w:r>
          </w:p>
        </w:tc>
        <w:tc>
          <w:tcPr>
            <w:tcW w:w="5027" w:type="dxa"/>
            <w:vAlign w:val="center"/>
          </w:tcPr>
          <w:p w14:paraId="1FA5534A">
            <w:pPr>
              <w:jc w:val="left"/>
              <w:rPr>
                <w:rFonts w:ascii="宋体" w:hAnsi="宋体"/>
              </w:rPr>
            </w:pPr>
            <w:r>
              <w:rPr>
                <w:rFonts w:ascii="宋体" w:hAnsi="宋体"/>
              </w:rPr>
              <w:t>招商银行股份有限公司杭州分行</w:t>
            </w:r>
          </w:p>
        </w:tc>
      </w:tr>
      <w:tr w14:paraId="3990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14:paraId="42B764CB">
            <w:pPr>
              <w:jc w:val="left"/>
              <w:rPr>
                <w:rFonts w:ascii="宋体" w:hAnsi="宋体"/>
              </w:rPr>
            </w:pPr>
            <w:r>
              <w:rPr>
                <w:rFonts w:hint="eastAsia" w:ascii="宋体" w:hAnsi="宋体"/>
                <w:szCs w:val="21"/>
              </w:rPr>
              <w:t>产品运作方式</w:t>
            </w:r>
          </w:p>
        </w:tc>
        <w:tc>
          <w:tcPr>
            <w:tcW w:w="5027" w:type="dxa"/>
            <w:vAlign w:val="center"/>
          </w:tcPr>
          <w:p w14:paraId="4DD51762">
            <w:pPr>
              <w:jc w:val="left"/>
              <w:rPr>
                <w:rFonts w:ascii="宋体" w:hAnsi="宋体"/>
              </w:rPr>
            </w:pPr>
            <w:r>
              <w:rPr>
                <w:rFonts w:ascii="宋体" w:hAnsi="宋体"/>
              </w:rPr>
              <w:t>公募封闭式净值型银行理财</w:t>
            </w:r>
          </w:p>
        </w:tc>
      </w:tr>
      <w:tr w14:paraId="5681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271577">
            <w:pPr>
              <w:jc w:val="left"/>
              <w:rPr>
                <w:rFonts w:ascii="宋体" w:hAnsi="宋体"/>
              </w:rPr>
            </w:pPr>
            <w:r>
              <w:rPr>
                <w:rFonts w:hint="eastAsia" w:ascii="宋体" w:hAnsi="宋体"/>
                <w:szCs w:val="21"/>
              </w:rPr>
              <w:t>产品成立日</w:t>
            </w:r>
          </w:p>
        </w:tc>
        <w:tc>
          <w:tcPr>
            <w:tcW w:w="5027" w:type="dxa"/>
            <w:vAlign w:val="center"/>
          </w:tcPr>
          <w:p w14:paraId="18257C90">
            <w:pPr>
              <w:jc w:val="left"/>
              <w:rPr>
                <w:rFonts w:ascii="宋体" w:hAnsi="宋体"/>
              </w:rPr>
            </w:pPr>
            <w:r>
              <w:rPr>
                <w:rFonts w:ascii="宋体" w:hAnsi="宋体"/>
              </w:rPr>
              <w:t>2024-10-28</w:t>
            </w:r>
          </w:p>
        </w:tc>
      </w:tr>
      <w:tr w14:paraId="056D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1D794F">
            <w:pPr>
              <w:jc w:val="left"/>
              <w:rPr>
                <w:rFonts w:ascii="宋体" w:hAnsi="宋体"/>
                <w:szCs w:val="21"/>
              </w:rPr>
            </w:pPr>
            <w:r>
              <w:rPr>
                <w:rFonts w:hint="eastAsia" w:ascii="宋体" w:hAnsi="宋体"/>
                <w:szCs w:val="21"/>
              </w:rPr>
              <w:t>产品到期日</w:t>
            </w:r>
          </w:p>
        </w:tc>
        <w:tc>
          <w:tcPr>
            <w:tcW w:w="5027" w:type="dxa"/>
            <w:vAlign w:val="center"/>
          </w:tcPr>
          <w:p w14:paraId="7718CDD1">
            <w:pPr>
              <w:jc w:val="left"/>
              <w:rPr>
                <w:rFonts w:ascii="宋体" w:hAnsi="宋体"/>
              </w:rPr>
            </w:pPr>
            <w:r>
              <w:rPr>
                <w:rFonts w:hint="eastAsia" w:ascii="宋体" w:hAnsi="宋体"/>
              </w:rPr>
              <w:t>2025-10-28</w:t>
            </w:r>
          </w:p>
        </w:tc>
      </w:tr>
      <w:tr w14:paraId="1803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ECC7F2A">
            <w:pPr>
              <w:rPr>
                <w:rFonts w:ascii="宋体" w:hAnsi="宋体"/>
                <w:szCs w:val="21"/>
              </w:rPr>
            </w:pPr>
            <w:r>
              <w:rPr>
                <w:rFonts w:hint="eastAsia" w:ascii="宋体" w:hAnsi="宋体"/>
                <w:szCs w:val="21"/>
              </w:rPr>
              <w:t>报告期末产品份额总额</w:t>
            </w:r>
          </w:p>
        </w:tc>
        <w:tc>
          <w:tcPr>
            <w:tcW w:w="5027" w:type="dxa"/>
            <w:vAlign w:val="center"/>
          </w:tcPr>
          <w:p w14:paraId="5FABB083">
            <w:pPr>
              <w:jc w:val="left"/>
              <w:rPr>
                <w:rFonts w:ascii="宋体" w:hAnsi="宋体"/>
              </w:rPr>
            </w:pPr>
            <w:bookmarkStart w:id="0" w:name="OLE_LINK1"/>
            <w:r>
              <w:rPr>
                <w:rFonts w:hint="eastAsia" w:ascii="宋体" w:hAnsi="宋体"/>
              </w:rPr>
              <w:t>3,000,000.00</w:t>
            </w:r>
            <w:bookmarkEnd w:id="0"/>
          </w:p>
        </w:tc>
      </w:tr>
      <w:tr w14:paraId="3FD6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885CB5">
            <w:pPr>
              <w:rPr>
                <w:rFonts w:ascii="宋体" w:hAnsi="宋体"/>
                <w:szCs w:val="21"/>
              </w:rPr>
            </w:pPr>
            <w:r>
              <w:rPr>
                <w:rFonts w:hint="eastAsia" w:ascii="宋体" w:hAnsi="宋体"/>
                <w:szCs w:val="21"/>
              </w:rPr>
              <w:t>业绩比较基准（如有）</w:t>
            </w:r>
          </w:p>
        </w:tc>
        <w:tc>
          <w:tcPr>
            <w:tcW w:w="5027" w:type="dxa"/>
            <w:vAlign w:val="center"/>
          </w:tcPr>
          <w:p w14:paraId="22BCD5D8">
            <w:pPr>
              <w:jc w:val="left"/>
              <w:rPr>
                <w:rFonts w:ascii="宋体" w:hAnsi="宋体"/>
              </w:rPr>
            </w:pPr>
            <w:r>
              <w:rPr>
                <w:rFonts w:ascii="宋体" w:hAnsi="宋体"/>
              </w:rPr>
              <w:t>[2.3%-3.3%]/年</w:t>
            </w:r>
          </w:p>
        </w:tc>
      </w:tr>
      <w:tr w14:paraId="0CA8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D49EBA">
            <w:pPr>
              <w:rPr>
                <w:rFonts w:ascii="宋体" w:hAnsi="宋体"/>
                <w:szCs w:val="21"/>
              </w:rPr>
            </w:pPr>
            <w:r>
              <w:rPr>
                <w:rFonts w:hint="eastAsia" w:ascii="宋体" w:hAnsi="宋体"/>
                <w:szCs w:val="21"/>
              </w:rPr>
              <w:t>估值方法</w:t>
            </w:r>
          </w:p>
        </w:tc>
        <w:tc>
          <w:tcPr>
            <w:tcW w:w="5027" w:type="dxa"/>
            <w:vAlign w:val="center"/>
          </w:tcPr>
          <w:p w14:paraId="3FB07265">
            <w:pPr>
              <w:jc w:val="left"/>
              <w:rPr>
                <w:rFonts w:ascii="宋体" w:hAnsi="宋体"/>
              </w:rPr>
            </w:pPr>
            <w:r>
              <w:rPr>
                <w:rFonts w:ascii="宋体" w:hAnsi="宋体"/>
              </w:rPr>
              <w:t>市值法</w:t>
            </w:r>
          </w:p>
        </w:tc>
      </w:tr>
    </w:tbl>
    <w:p w14:paraId="3847D56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58A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37BC070">
            <w:pPr>
              <w:jc w:val="center"/>
              <w:rPr>
                <w:rFonts w:ascii="宋体" w:hAnsi="宋体"/>
                <w:b/>
              </w:rPr>
            </w:pPr>
            <w:r>
              <w:rPr>
                <w:rFonts w:hint="eastAsia"/>
                <w:b/>
              </w:rPr>
              <w:t>阶段</w:t>
            </w:r>
          </w:p>
        </w:tc>
        <w:tc>
          <w:tcPr>
            <w:tcW w:w="5103" w:type="dxa"/>
            <w:shd w:val="clear" w:color="auto" w:fill="D9D9D9"/>
            <w:vAlign w:val="center"/>
          </w:tcPr>
          <w:p w14:paraId="48F3939B">
            <w:pPr>
              <w:jc w:val="center"/>
              <w:rPr>
                <w:rFonts w:ascii="宋体" w:hAnsi="宋体"/>
                <w:b/>
              </w:rPr>
            </w:pPr>
            <w:r>
              <w:rPr>
                <w:b/>
              </w:rPr>
              <w:t>净值增长率</w:t>
            </w:r>
            <w:r>
              <w:rPr>
                <w:rFonts w:hint="eastAsia"/>
                <w:b/>
              </w:rPr>
              <w:t>（%）</w:t>
            </w:r>
          </w:p>
        </w:tc>
      </w:tr>
      <w:tr w14:paraId="594E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3841180">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3534CF7D">
            <w:pPr>
              <w:jc w:val="right"/>
            </w:pPr>
            <w:r>
              <w:t>0.20</w:t>
            </w:r>
          </w:p>
        </w:tc>
      </w:tr>
      <w:tr w14:paraId="71D6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AD57B7C">
            <w:pPr>
              <w:jc w:val="center"/>
              <w:rPr>
                <w:rFonts w:ascii="宋体" w:hAnsi="宋体"/>
              </w:rPr>
            </w:pPr>
            <w:r>
              <w:rPr>
                <w:rFonts w:hint="eastAsia" w:ascii="宋体" w:hAnsi="宋体"/>
              </w:rPr>
              <w:t>自产品成立日至今</w:t>
            </w:r>
          </w:p>
        </w:tc>
        <w:tc>
          <w:tcPr>
            <w:tcW w:w="5103" w:type="dxa"/>
            <w:vAlign w:val="center"/>
          </w:tcPr>
          <w:p w14:paraId="50896B48">
            <w:pPr>
              <w:jc w:val="right"/>
            </w:pPr>
            <w:r>
              <w:t>1.74</w:t>
            </w:r>
            <w:bookmarkStart w:id="1" w:name="OLE_LINK4"/>
            <w:bookmarkEnd w:id="1"/>
            <w:bookmarkStart w:id="2" w:name="OLE_LINK7"/>
            <w:bookmarkEnd w:id="2"/>
          </w:p>
        </w:tc>
      </w:tr>
    </w:tbl>
    <w:p w14:paraId="0E089CFD">
      <w:pPr>
        <w:spacing w:line="360" w:lineRule="auto"/>
        <w:ind w:left="420" w:leftChars="200"/>
        <w:jc w:val="left"/>
        <w:rPr>
          <w:rFonts w:ascii="宋体" w:hAnsi="宋体"/>
          <w:sz w:val="24"/>
        </w:rPr>
      </w:pPr>
      <w:r>
        <w:rPr>
          <w:rFonts w:ascii="宋体" w:hAnsi="宋体"/>
          <w:sz w:val="24"/>
        </w:rPr>
        <w:t xml:space="preserve"> </w:t>
      </w:r>
    </w:p>
    <w:p w14:paraId="6E5CAEFB">
      <w:pPr>
        <w:pStyle w:val="40"/>
      </w:pPr>
      <w:r>
        <w:rPr>
          <w:rFonts w:hint="eastAsia"/>
        </w:rPr>
        <w:t>主要财务指标</w:t>
      </w:r>
    </w:p>
    <w:p w14:paraId="44D916E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AD5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3838" w:type="dxa"/>
            <w:shd w:val="clear" w:color="auto" w:fill="D9D9D9"/>
            <w:vAlign w:val="center"/>
          </w:tcPr>
          <w:p w14:paraId="20AFEE99">
            <w:pPr>
              <w:jc w:val="left"/>
              <w:rPr>
                <w:rFonts w:ascii="宋体" w:hAnsi="宋体"/>
                <w:b/>
              </w:rPr>
            </w:pPr>
            <w:r>
              <w:rPr>
                <w:rFonts w:hint="eastAsia"/>
                <w:b/>
                <w:bCs/>
              </w:rPr>
              <w:t>项目</w:t>
            </w:r>
          </w:p>
        </w:tc>
        <w:tc>
          <w:tcPr>
            <w:tcW w:w="5027" w:type="dxa"/>
            <w:shd w:val="clear" w:color="auto" w:fill="D9D9D9"/>
            <w:vAlign w:val="center"/>
          </w:tcPr>
          <w:p w14:paraId="0313614A">
            <w:pPr>
              <w:jc w:val="left"/>
              <w:rPr>
                <w:b/>
              </w:rPr>
            </w:pPr>
            <w:r>
              <w:rPr>
                <w:b/>
              </w:rPr>
              <w:t>2025-01-01</w:t>
            </w:r>
            <w:r>
              <w:rPr>
                <w:rFonts w:hint="eastAsia"/>
                <w:b/>
              </w:rPr>
              <w:t xml:space="preserve">至 </w:t>
            </w:r>
            <w:r>
              <w:rPr>
                <w:b/>
              </w:rPr>
              <w:t>2025-03-31</w:t>
            </w:r>
          </w:p>
        </w:tc>
      </w:tr>
      <w:tr w14:paraId="672A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474DC0">
            <w:pPr>
              <w:rPr>
                <w:rFonts w:ascii="宋体" w:hAnsi="宋体"/>
              </w:rPr>
            </w:pPr>
            <w:r>
              <w:rPr>
                <w:rFonts w:hint="eastAsia" w:ascii="宋体" w:hAnsi="宋体"/>
                <w:szCs w:val="21"/>
              </w:rPr>
              <w:t>本期已实现收益</w:t>
            </w:r>
          </w:p>
        </w:tc>
        <w:tc>
          <w:tcPr>
            <w:tcW w:w="5027" w:type="dxa"/>
            <w:vAlign w:val="center"/>
          </w:tcPr>
          <w:p w14:paraId="023A1B57">
            <w:pPr>
              <w:jc w:val="right"/>
            </w:pPr>
            <w:r>
              <w:t>-112.62</w:t>
            </w:r>
          </w:p>
        </w:tc>
      </w:tr>
      <w:tr w14:paraId="47C3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C0AC325">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351B0AB5">
            <w:pPr>
              <w:ind w:hanging="1"/>
              <w:jc w:val="right"/>
            </w:pPr>
            <w:r>
              <w:rPr>
                <w:b w:val="0"/>
                <w:i w:val="0"/>
                <w:strike w:val="0"/>
                <w:u w:val="none"/>
              </w:rPr>
              <w:t>6,045.96</w:t>
            </w:r>
          </w:p>
        </w:tc>
      </w:tr>
      <w:tr w14:paraId="43AC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4A40276">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7C9126B1">
            <w:pPr>
              <w:ind w:hanging="1"/>
              <w:jc w:val="right"/>
            </w:pPr>
            <w:r>
              <w:rPr>
                <w:b w:val="0"/>
                <w:i w:val="0"/>
                <w:strike w:val="0"/>
                <w:u w:val="none"/>
              </w:rPr>
              <w:t>3,052,155.81</w:t>
            </w:r>
          </w:p>
        </w:tc>
      </w:tr>
      <w:tr w14:paraId="3B82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7361E12">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43B7593A">
            <w:pPr>
              <w:ind w:hanging="1"/>
              <w:jc w:val="right"/>
            </w:pPr>
            <w:r>
              <w:rPr>
                <w:b w:val="0"/>
                <w:i w:val="0"/>
                <w:strike w:val="0"/>
                <w:u w:val="none"/>
              </w:rPr>
              <w:t>1.01738527</w:t>
            </w:r>
          </w:p>
        </w:tc>
      </w:tr>
    </w:tbl>
    <w:p w14:paraId="3C631739">
      <w:pPr>
        <w:tabs>
          <w:tab w:val="left" w:pos="3135"/>
        </w:tabs>
        <w:ind w:left="420" w:leftChars="200"/>
      </w:pPr>
    </w:p>
    <w:p w14:paraId="3209D317">
      <w:pPr>
        <w:pStyle w:val="40"/>
      </w:pPr>
      <w:r>
        <w:rPr>
          <w:rFonts w:hint="eastAsia"/>
        </w:rPr>
        <w:t>投资组合情况及</w:t>
      </w:r>
      <w:r>
        <w:t>流动性风险分析</w:t>
      </w:r>
    </w:p>
    <w:p w14:paraId="4758820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357BF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3F129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451F4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A5D60A6">
      <w:pPr>
        <w:pStyle w:val="41"/>
        <w:spacing w:before="156" w:after="156"/>
      </w:pPr>
      <w:r>
        <w:rPr>
          <w:rFonts w:hint="eastAsia"/>
          <w:b w:val="0"/>
        </w:rPr>
        <w:t>期末资产组合情况</w:t>
      </w:r>
    </w:p>
    <w:p w14:paraId="3E34C6D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9E7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A848DE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CD8AD1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E9060F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BCB53AB">
            <w:pPr>
              <w:jc w:val="center"/>
              <w:rPr>
                <w:rFonts w:ascii="宋体" w:hAnsi="宋体"/>
                <w:b/>
                <w:szCs w:val="21"/>
              </w:rPr>
            </w:pPr>
            <w:r>
              <w:rPr>
                <w:rFonts w:hint="eastAsia" w:ascii="宋体" w:hAnsi="宋体"/>
                <w:b/>
                <w:szCs w:val="21"/>
              </w:rPr>
              <w:t>间接</w:t>
            </w:r>
            <w:r>
              <w:rPr>
                <w:rFonts w:ascii="宋体" w:hAnsi="宋体"/>
                <w:b/>
                <w:szCs w:val="21"/>
              </w:rPr>
              <w:t>投资</w:t>
            </w:r>
          </w:p>
        </w:tc>
      </w:tr>
      <w:tr w14:paraId="5809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54EC294">
            <w:pPr>
              <w:jc w:val="center"/>
              <w:rPr>
                <w:rFonts w:ascii="宋体" w:hAnsi="宋体"/>
                <w:b/>
                <w:szCs w:val="21"/>
              </w:rPr>
            </w:pPr>
          </w:p>
        </w:tc>
        <w:tc>
          <w:tcPr>
            <w:tcW w:w="1447" w:type="dxa"/>
            <w:vMerge w:val="continue"/>
            <w:shd w:val="clear" w:color="auto" w:fill="D9D9D9"/>
            <w:vAlign w:val="center"/>
          </w:tcPr>
          <w:p w14:paraId="09C981ED">
            <w:pPr>
              <w:jc w:val="center"/>
              <w:rPr>
                <w:rFonts w:ascii="宋体" w:hAnsi="宋体"/>
                <w:b/>
                <w:szCs w:val="21"/>
              </w:rPr>
            </w:pPr>
          </w:p>
        </w:tc>
        <w:tc>
          <w:tcPr>
            <w:tcW w:w="1697" w:type="dxa"/>
            <w:shd w:val="clear" w:color="auto" w:fill="D9D9D9"/>
            <w:vAlign w:val="center"/>
          </w:tcPr>
          <w:p w14:paraId="57D976D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B0787C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1B37D69">
            <w:pPr>
              <w:jc w:val="center"/>
              <w:rPr>
                <w:rFonts w:ascii="宋体" w:hAnsi="宋体"/>
                <w:b/>
                <w:szCs w:val="21"/>
              </w:rPr>
            </w:pPr>
            <w:r>
              <w:rPr>
                <w:rFonts w:hint="eastAsia" w:ascii="宋体" w:hAnsi="宋体"/>
                <w:b/>
                <w:szCs w:val="21"/>
              </w:rPr>
              <w:t>金额</w:t>
            </w:r>
          </w:p>
        </w:tc>
        <w:tc>
          <w:tcPr>
            <w:tcW w:w="1705" w:type="dxa"/>
            <w:shd w:val="clear" w:color="auto" w:fill="D9D9D9"/>
          </w:tcPr>
          <w:p w14:paraId="41999533">
            <w:pPr>
              <w:jc w:val="center"/>
              <w:rPr>
                <w:rFonts w:ascii="宋体" w:hAnsi="宋体"/>
                <w:b/>
                <w:szCs w:val="21"/>
              </w:rPr>
            </w:pPr>
            <w:r>
              <w:rPr>
                <w:rFonts w:hint="eastAsia" w:ascii="宋体" w:hAnsi="宋体"/>
                <w:b/>
                <w:szCs w:val="21"/>
              </w:rPr>
              <w:t>占产品总资产的比例（%）</w:t>
            </w:r>
          </w:p>
        </w:tc>
      </w:tr>
      <w:tr w14:paraId="7B1A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A7319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2C8E40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E484DD8">
            <w:pPr>
              <w:jc w:val="right"/>
            </w:pPr>
            <w:r>
              <w:t>0.00</w:t>
            </w:r>
          </w:p>
        </w:tc>
        <w:tc>
          <w:tcPr>
            <w:tcW w:w="1749" w:type="dxa"/>
            <w:shd w:val="clear" w:color="auto" w:fill="auto"/>
            <w:vAlign w:val="center"/>
          </w:tcPr>
          <w:p w14:paraId="191C7274">
            <w:pPr>
              <w:jc w:val="right"/>
            </w:pPr>
            <w:r>
              <w:t>0.00</w:t>
            </w:r>
          </w:p>
        </w:tc>
        <w:tc>
          <w:tcPr>
            <w:tcW w:w="1653" w:type="dxa"/>
            <w:vAlign w:val="center"/>
          </w:tcPr>
          <w:p w14:paraId="1A36626C">
            <w:pPr>
              <w:jc w:val="right"/>
            </w:pPr>
            <w:r>
              <w:t>0.00</w:t>
            </w:r>
          </w:p>
        </w:tc>
        <w:tc>
          <w:tcPr>
            <w:tcW w:w="1705" w:type="dxa"/>
            <w:vAlign w:val="center"/>
          </w:tcPr>
          <w:p w14:paraId="068FC4F1">
            <w:pPr>
              <w:jc w:val="right"/>
            </w:pPr>
            <w:r>
              <w:t>0.00</w:t>
            </w:r>
          </w:p>
        </w:tc>
      </w:tr>
      <w:tr w14:paraId="1590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44DAE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F0AFF6">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F293F93">
            <w:pPr>
              <w:jc w:val="right"/>
            </w:pPr>
            <w:r>
              <w:t>0.00</w:t>
            </w:r>
          </w:p>
        </w:tc>
        <w:tc>
          <w:tcPr>
            <w:tcW w:w="1749" w:type="dxa"/>
            <w:shd w:val="clear" w:color="auto" w:fill="auto"/>
            <w:vAlign w:val="center"/>
          </w:tcPr>
          <w:p w14:paraId="065CAF12">
            <w:pPr>
              <w:jc w:val="right"/>
            </w:pPr>
            <w:r>
              <w:t>0.00</w:t>
            </w:r>
          </w:p>
        </w:tc>
        <w:tc>
          <w:tcPr>
            <w:tcW w:w="1653" w:type="dxa"/>
            <w:vAlign w:val="center"/>
          </w:tcPr>
          <w:p w14:paraId="7099DB9D">
            <w:pPr>
              <w:jc w:val="right"/>
            </w:pPr>
            <w:r>
              <w:t>0.00</w:t>
            </w:r>
          </w:p>
        </w:tc>
        <w:tc>
          <w:tcPr>
            <w:tcW w:w="1705" w:type="dxa"/>
            <w:vAlign w:val="center"/>
          </w:tcPr>
          <w:p w14:paraId="65CD9B20">
            <w:pPr>
              <w:jc w:val="right"/>
            </w:pPr>
            <w:r>
              <w:t>0.00</w:t>
            </w:r>
          </w:p>
        </w:tc>
      </w:tr>
      <w:tr w14:paraId="4BB9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A8F03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5F274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0D4E678">
            <w:pPr>
              <w:jc w:val="right"/>
            </w:pPr>
          </w:p>
        </w:tc>
        <w:tc>
          <w:tcPr>
            <w:tcW w:w="1749" w:type="dxa"/>
            <w:shd w:val="clear" w:color="auto" w:fill="auto"/>
            <w:vAlign w:val="center"/>
          </w:tcPr>
          <w:p w14:paraId="705E4D40">
            <w:pPr>
              <w:jc w:val="right"/>
            </w:pPr>
          </w:p>
        </w:tc>
        <w:tc>
          <w:tcPr>
            <w:tcW w:w="1653" w:type="dxa"/>
            <w:vAlign w:val="center"/>
          </w:tcPr>
          <w:p w14:paraId="2094298E">
            <w:pPr>
              <w:jc w:val="right"/>
            </w:pPr>
          </w:p>
        </w:tc>
        <w:tc>
          <w:tcPr>
            <w:tcW w:w="1705" w:type="dxa"/>
            <w:vAlign w:val="center"/>
          </w:tcPr>
          <w:p w14:paraId="3D821C81">
            <w:pPr>
              <w:jc w:val="right"/>
            </w:pPr>
          </w:p>
        </w:tc>
      </w:tr>
      <w:tr w14:paraId="2B12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1A7AA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86009A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E195BCE">
            <w:pPr>
              <w:jc w:val="right"/>
            </w:pPr>
            <w:r>
              <w:t>0.00</w:t>
            </w:r>
          </w:p>
        </w:tc>
        <w:tc>
          <w:tcPr>
            <w:tcW w:w="1749" w:type="dxa"/>
            <w:shd w:val="clear" w:color="auto" w:fill="auto"/>
            <w:vAlign w:val="center"/>
          </w:tcPr>
          <w:p w14:paraId="41D4B6FF">
            <w:pPr>
              <w:jc w:val="right"/>
            </w:pPr>
            <w:r>
              <w:t>0.00</w:t>
            </w:r>
          </w:p>
        </w:tc>
        <w:tc>
          <w:tcPr>
            <w:tcW w:w="1653" w:type="dxa"/>
            <w:vAlign w:val="center"/>
          </w:tcPr>
          <w:p w14:paraId="47820716">
            <w:pPr>
              <w:jc w:val="right"/>
            </w:pPr>
            <w:r>
              <w:t>158,069.26</w:t>
            </w:r>
          </w:p>
        </w:tc>
        <w:tc>
          <w:tcPr>
            <w:tcW w:w="1705" w:type="dxa"/>
            <w:vAlign w:val="center"/>
          </w:tcPr>
          <w:p w14:paraId="518C429B">
            <w:pPr>
              <w:jc w:val="right"/>
            </w:pPr>
            <w:r>
              <w:t>5.18</w:t>
            </w:r>
          </w:p>
        </w:tc>
      </w:tr>
      <w:tr w14:paraId="3ACC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A1BFF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FBAD07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82FFB90">
            <w:pPr>
              <w:jc w:val="right"/>
            </w:pPr>
            <w:r>
              <w:t>0.00</w:t>
            </w:r>
          </w:p>
        </w:tc>
        <w:tc>
          <w:tcPr>
            <w:tcW w:w="1749" w:type="dxa"/>
            <w:shd w:val="clear" w:color="auto" w:fill="auto"/>
            <w:vAlign w:val="center"/>
          </w:tcPr>
          <w:p w14:paraId="1432EA3E">
            <w:pPr>
              <w:jc w:val="right"/>
            </w:pPr>
            <w:r>
              <w:t>0.00</w:t>
            </w:r>
          </w:p>
        </w:tc>
        <w:tc>
          <w:tcPr>
            <w:tcW w:w="1653" w:type="dxa"/>
            <w:vAlign w:val="center"/>
          </w:tcPr>
          <w:p w14:paraId="36C3B080">
            <w:pPr>
              <w:jc w:val="right"/>
            </w:pPr>
            <w:r>
              <w:t>3,262,259.88</w:t>
            </w:r>
          </w:p>
        </w:tc>
        <w:tc>
          <w:tcPr>
            <w:tcW w:w="1705" w:type="dxa"/>
            <w:vAlign w:val="center"/>
          </w:tcPr>
          <w:p w14:paraId="3170EB45">
            <w:pPr>
              <w:jc w:val="right"/>
            </w:pPr>
            <w:r>
              <w:t>106.88</w:t>
            </w:r>
          </w:p>
        </w:tc>
      </w:tr>
      <w:tr w14:paraId="07F0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66F518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6CCA4C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F05D299">
            <w:pPr>
              <w:jc w:val="right"/>
            </w:pPr>
            <w:r>
              <w:t>0.00</w:t>
            </w:r>
          </w:p>
        </w:tc>
        <w:tc>
          <w:tcPr>
            <w:tcW w:w="1749" w:type="dxa"/>
            <w:shd w:val="clear" w:color="auto" w:fill="auto"/>
            <w:vAlign w:val="center"/>
          </w:tcPr>
          <w:p w14:paraId="237A1C1A">
            <w:pPr>
              <w:jc w:val="right"/>
            </w:pPr>
            <w:r>
              <w:t>0.00</w:t>
            </w:r>
          </w:p>
        </w:tc>
        <w:tc>
          <w:tcPr>
            <w:tcW w:w="1653" w:type="dxa"/>
            <w:vAlign w:val="center"/>
          </w:tcPr>
          <w:p w14:paraId="0C2C1F0E">
            <w:pPr>
              <w:jc w:val="right"/>
            </w:pPr>
            <w:r>
              <w:t>3,001,204.09</w:t>
            </w:r>
          </w:p>
        </w:tc>
        <w:tc>
          <w:tcPr>
            <w:tcW w:w="1705" w:type="dxa"/>
            <w:vAlign w:val="center"/>
          </w:tcPr>
          <w:p w14:paraId="5DABFF43">
            <w:pPr>
              <w:jc w:val="right"/>
            </w:pPr>
            <w:r>
              <w:t>98.32</w:t>
            </w:r>
          </w:p>
        </w:tc>
      </w:tr>
      <w:tr w14:paraId="14C0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2BBB5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4B1F96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6AB6006">
            <w:pPr>
              <w:jc w:val="right"/>
            </w:pPr>
            <w:r>
              <w:t>0.00</w:t>
            </w:r>
          </w:p>
        </w:tc>
        <w:tc>
          <w:tcPr>
            <w:tcW w:w="1749" w:type="dxa"/>
            <w:shd w:val="clear" w:color="auto" w:fill="auto"/>
            <w:vAlign w:val="center"/>
          </w:tcPr>
          <w:p w14:paraId="4BD30CFF">
            <w:pPr>
              <w:jc w:val="right"/>
            </w:pPr>
            <w:r>
              <w:t>0.00</w:t>
            </w:r>
          </w:p>
        </w:tc>
        <w:tc>
          <w:tcPr>
            <w:tcW w:w="1653" w:type="dxa"/>
            <w:vAlign w:val="center"/>
          </w:tcPr>
          <w:p w14:paraId="7A894463">
            <w:pPr>
              <w:jc w:val="right"/>
            </w:pPr>
            <w:r>
              <w:t>261,055.80</w:t>
            </w:r>
          </w:p>
        </w:tc>
        <w:tc>
          <w:tcPr>
            <w:tcW w:w="1705" w:type="dxa"/>
            <w:vAlign w:val="center"/>
          </w:tcPr>
          <w:p w14:paraId="0BB15C57">
            <w:pPr>
              <w:jc w:val="right"/>
            </w:pPr>
            <w:r>
              <w:t>8.55</w:t>
            </w:r>
          </w:p>
        </w:tc>
      </w:tr>
      <w:tr w14:paraId="2551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E51B0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875FC6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40CC75A">
            <w:pPr>
              <w:jc w:val="right"/>
            </w:pPr>
            <w:r>
              <w:t>0.00</w:t>
            </w:r>
          </w:p>
        </w:tc>
        <w:tc>
          <w:tcPr>
            <w:tcW w:w="1749" w:type="dxa"/>
            <w:shd w:val="clear" w:color="auto" w:fill="auto"/>
            <w:vAlign w:val="center"/>
          </w:tcPr>
          <w:p w14:paraId="0818A186">
            <w:pPr>
              <w:jc w:val="right"/>
            </w:pPr>
            <w:r>
              <w:t>0.00</w:t>
            </w:r>
          </w:p>
        </w:tc>
        <w:tc>
          <w:tcPr>
            <w:tcW w:w="1653" w:type="dxa"/>
            <w:vAlign w:val="center"/>
          </w:tcPr>
          <w:p w14:paraId="6EFAAFA6">
            <w:pPr>
              <w:jc w:val="right"/>
            </w:pPr>
            <w:r>
              <w:t>0.00</w:t>
            </w:r>
          </w:p>
        </w:tc>
        <w:tc>
          <w:tcPr>
            <w:tcW w:w="1705" w:type="dxa"/>
            <w:vAlign w:val="center"/>
          </w:tcPr>
          <w:p w14:paraId="33CB6988">
            <w:pPr>
              <w:jc w:val="right"/>
            </w:pPr>
            <w:r>
              <w:t>0.00</w:t>
            </w:r>
          </w:p>
        </w:tc>
      </w:tr>
      <w:tr w14:paraId="1F43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BFEE5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58A1B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AE167C8">
            <w:pPr>
              <w:jc w:val="right"/>
            </w:pPr>
          </w:p>
        </w:tc>
        <w:tc>
          <w:tcPr>
            <w:tcW w:w="1749" w:type="dxa"/>
            <w:shd w:val="clear" w:color="auto" w:fill="auto"/>
            <w:vAlign w:val="center"/>
          </w:tcPr>
          <w:p w14:paraId="3499745E">
            <w:pPr>
              <w:jc w:val="right"/>
            </w:pPr>
          </w:p>
        </w:tc>
        <w:tc>
          <w:tcPr>
            <w:tcW w:w="1653" w:type="dxa"/>
            <w:vAlign w:val="center"/>
          </w:tcPr>
          <w:p w14:paraId="217A1180">
            <w:pPr>
              <w:jc w:val="right"/>
            </w:pPr>
          </w:p>
        </w:tc>
        <w:tc>
          <w:tcPr>
            <w:tcW w:w="1705" w:type="dxa"/>
            <w:vAlign w:val="center"/>
          </w:tcPr>
          <w:p w14:paraId="01A47433">
            <w:pPr>
              <w:jc w:val="right"/>
            </w:pPr>
          </w:p>
        </w:tc>
      </w:tr>
      <w:tr w14:paraId="0C1A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2390E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9F174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1D04D21">
            <w:pPr>
              <w:jc w:val="right"/>
            </w:pPr>
          </w:p>
        </w:tc>
        <w:tc>
          <w:tcPr>
            <w:tcW w:w="1749" w:type="dxa"/>
            <w:shd w:val="clear" w:color="auto" w:fill="auto"/>
            <w:vAlign w:val="center"/>
          </w:tcPr>
          <w:p w14:paraId="507BD5E7">
            <w:pPr>
              <w:jc w:val="right"/>
            </w:pPr>
          </w:p>
        </w:tc>
        <w:tc>
          <w:tcPr>
            <w:tcW w:w="1653" w:type="dxa"/>
            <w:vAlign w:val="center"/>
          </w:tcPr>
          <w:p w14:paraId="5B62DB41">
            <w:pPr>
              <w:jc w:val="right"/>
            </w:pPr>
          </w:p>
        </w:tc>
        <w:tc>
          <w:tcPr>
            <w:tcW w:w="1705" w:type="dxa"/>
            <w:vAlign w:val="center"/>
          </w:tcPr>
          <w:p w14:paraId="742E4B2D">
            <w:pPr>
              <w:jc w:val="right"/>
            </w:pPr>
          </w:p>
        </w:tc>
      </w:tr>
      <w:tr w14:paraId="74A1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E4B79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1F98CCB">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425FFC9">
            <w:pPr>
              <w:jc w:val="right"/>
            </w:pPr>
            <w:r>
              <w:t>0.00</w:t>
            </w:r>
          </w:p>
        </w:tc>
        <w:tc>
          <w:tcPr>
            <w:tcW w:w="1749" w:type="dxa"/>
            <w:shd w:val="clear" w:color="auto" w:fill="auto"/>
            <w:vAlign w:val="center"/>
          </w:tcPr>
          <w:p w14:paraId="617B831F">
            <w:pPr>
              <w:jc w:val="right"/>
            </w:pPr>
            <w:r>
              <w:t>0.00</w:t>
            </w:r>
          </w:p>
        </w:tc>
        <w:tc>
          <w:tcPr>
            <w:tcW w:w="1653" w:type="dxa"/>
            <w:vAlign w:val="center"/>
          </w:tcPr>
          <w:p w14:paraId="029CCF8C">
            <w:pPr>
              <w:jc w:val="right"/>
            </w:pPr>
            <w:r>
              <w:t>0.00</w:t>
            </w:r>
          </w:p>
        </w:tc>
        <w:tc>
          <w:tcPr>
            <w:tcW w:w="1705" w:type="dxa"/>
            <w:vAlign w:val="center"/>
          </w:tcPr>
          <w:p w14:paraId="45B9CF2A">
            <w:pPr>
              <w:jc w:val="right"/>
            </w:pPr>
            <w:r>
              <w:t>0.00</w:t>
            </w:r>
          </w:p>
        </w:tc>
      </w:tr>
      <w:tr w14:paraId="0FF9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AFE53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185F34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E88D147">
            <w:pPr>
              <w:jc w:val="right"/>
            </w:pPr>
          </w:p>
        </w:tc>
        <w:tc>
          <w:tcPr>
            <w:tcW w:w="1749" w:type="dxa"/>
            <w:shd w:val="clear" w:color="auto" w:fill="auto"/>
            <w:vAlign w:val="center"/>
          </w:tcPr>
          <w:p w14:paraId="710C8BFD">
            <w:pPr>
              <w:jc w:val="right"/>
            </w:pPr>
          </w:p>
        </w:tc>
        <w:tc>
          <w:tcPr>
            <w:tcW w:w="1653" w:type="dxa"/>
            <w:vAlign w:val="center"/>
          </w:tcPr>
          <w:p w14:paraId="6671F8AB">
            <w:pPr>
              <w:jc w:val="right"/>
            </w:pPr>
          </w:p>
        </w:tc>
        <w:tc>
          <w:tcPr>
            <w:tcW w:w="1705" w:type="dxa"/>
            <w:vAlign w:val="center"/>
          </w:tcPr>
          <w:p w14:paraId="34C5D63C">
            <w:pPr>
              <w:jc w:val="right"/>
            </w:pPr>
          </w:p>
        </w:tc>
      </w:tr>
      <w:tr w14:paraId="40953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56B0D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3C7E80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12ACAC7">
            <w:pPr>
              <w:jc w:val="right"/>
            </w:pPr>
            <w:r>
              <w:t>0.00</w:t>
            </w:r>
          </w:p>
        </w:tc>
        <w:tc>
          <w:tcPr>
            <w:tcW w:w="1749" w:type="dxa"/>
            <w:shd w:val="clear" w:color="auto" w:fill="auto"/>
            <w:vAlign w:val="center"/>
          </w:tcPr>
          <w:p w14:paraId="442C65DF">
            <w:pPr>
              <w:jc w:val="right"/>
            </w:pPr>
            <w:r>
              <w:t>0.00</w:t>
            </w:r>
          </w:p>
        </w:tc>
        <w:tc>
          <w:tcPr>
            <w:tcW w:w="1653" w:type="dxa"/>
            <w:vAlign w:val="center"/>
          </w:tcPr>
          <w:p w14:paraId="1C3AF560">
            <w:pPr>
              <w:jc w:val="right"/>
            </w:pPr>
            <w:r>
              <w:t>0.00</w:t>
            </w:r>
          </w:p>
        </w:tc>
        <w:tc>
          <w:tcPr>
            <w:tcW w:w="1705" w:type="dxa"/>
            <w:vAlign w:val="center"/>
          </w:tcPr>
          <w:p w14:paraId="16C1A715">
            <w:pPr>
              <w:jc w:val="right"/>
            </w:pPr>
            <w:r>
              <w:t>0.00</w:t>
            </w:r>
          </w:p>
        </w:tc>
      </w:tr>
      <w:tr w14:paraId="106A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22855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9C1E9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F34C9EE">
            <w:pPr>
              <w:jc w:val="right"/>
            </w:pPr>
            <w:r>
              <w:t>0.00</w:t>
            </w:r>
          </w:p>
        </w:tc>
        <w:tc>
          <w:tcPr>
            <w:tcW w:w="1749" w:type="dxa"/>
            <w:shd w:val="clear" w:color="auto" w:fill="auto"/>
            <w:vAlign w:val="center"/>
          </w:tcPr>
          <w:p w14:paraId="5E6B743B">
            <w:pPr>
              <w:jc w:val="right"/>
            </w:pPr>
            <w:r>
              <w:t>0.00</w:t>
            </w:r>
          </w:p>
        </w:tc>
        <w:tc>
          <w:tcPr>
            <w:tcW w:w="1653" w:type="dxa"/>
            <w:vAlign w:val="center"/>
          </w:tcPr>
          <w:p w14:paraId="1991FC72">
            <w:pPr>
              <w:jc w:val="right"/>
            </w:pPr>
            <w:r>
              <w:t>0.00</w:t>
            </w:r>
          </w:p>
        </w:tc>
        <w:tc>
          <w:tcPr>
            <w:tcW w:w="1705" w:type="dxa"/>
            <w:vAlign w:val="center"/>
          </w:tcPr>
          <w:p w14:paraId="6FB750D0">
            <w:pPr>
              <w:jc w:val="right"/>
            </w:pPr>
            <w:r>
              <w:t>0.00</w:t>
            </w:r>
          </w:p>
        </w:tc>
      </w:tr>
      <w:tr w14:paraId="098A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83198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3B5BEE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942A7A7">
            <w:pPr>
              <w:jc w:val="right"/>
            </w:pPr>
          </w:p>
        </w:tc>
        <w:tc>
          <w:tcPr>
            <w:tcW w:w="1749" w:type="dxa"/>
            <w:shd w:val="clear" w:color="auto" w:fill="auto"/>
            <w:vAlign w:val="center"/>
          </w:tcPr>
          <w:p w14:paraId="554CC213">
            <w:pPr>
              <w:jc w:val="right"/>
            </w:pPr>
          </w:p>
        </w:tc>
        <w:tc>
          <w:tcPr>
            <w:tcW w:w="1653" w:type="dxa"/>
            <w:vAlign w:val="center"/>
          </w:tcPr>
          <w:p w14:paraId="0F7756F9">
            <w:pPr>
              <w:jc w:val="right"/>
            </w:pPr>
          </w:p>
        </w:tc>
        <w:tc>
          <w:tcPr>
            <w:tcW w:w="1705" w:type="dxa"/>
            <w:vAlign w:val="center"/>
          </w:tcPr>
          <w:p w14:paraId="2A4F8F92">
            <w:pPr>
              <w:jc w:val="right"/>
            </w:pPr>
          </w:p>
        </w:tc>
      </w:tr>
      <w:tr w14:paraId="169E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BA182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AD6403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10BF909">
            <w:pPr>
              <w:jc w:val="right"/>
            </w:pPr>
            <w:r>
              <w:t>0.00</w:t>
            </w:r>
          </w:p>
        </w:tc>
        <w:tc>
          <w:tcPr>
            <w:tcW w:w="1749" w:type="dxa"/>
            <w:shd w:val="clear" w:color="auto" w:fill="auto"/>
            <w:vAlign w:val="center"/>
          </w:tcPr>
          <w:p w14:paraId="1793BB92">
            <w:pPr>
              <w:jc w:val="right"/>
            </w:pPr>
            <w:r>
              <w:t>0.00</w:t>
            </w:r>
          </w:p>
        </w:tc>
        <w:tc>
          <w:tcPr>
            <w:tcW w:w="1653" w:type="dxa"/>
            <w:vAlign w:val="center"/>
          </w:tcPr>
          <w:p w14:paraId="21176B1A">
            <w:pPr>
              <w:jc w:val="right"/>
            </w:pPr>
            <w:r>
              <w:t>8,833.70</w:t>
            </w:r>
          </w:p>
        </w:tc>
        <w:tc>
          <w:tcPr>
            <w:tcW w:w="1705" w:type="dxa"/>
            <w:vAlign w:val="center"/>
          </w:tcPr>
          <w:p w14:paraId="0D085A98">
            <w:pPr>
              <w:jc w:val="right"/>
            </w:pPr>
            <w:r>
              <w:t>0.29</w:t>
            </w:r>
          </w:p>
        </w:tc>
      </w:tr>
      <w:tr w14:paraId="0A0B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19F94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7F91C8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E62C63D">
            <w:pPr>
              <w:jc w:val="right"/>
            </w:pPr>
            <w:r>
              <w:t>0.00</w:t>
            </w:r>
          </w:p>
        </w:tc>
        <w:tc>
          <w:tcPr>
            <w:tcW w:w="1749" w:type="dxa"/>
            <w:shd w:val="clear" w:color="auto" w:fill="auto"/>
            <w:vAlign w:val="center"/>
          </w:tcPr>
          <w:p w14:paraId="797FAB6A">
            <w:pPr>
              <w:jc w:val="right"/>
            </w:pPr>
            <w:r>
              <w:t>0.00</w:t>
            </w:r>
          </w:p>
        </w:tc>
        <w:tc>
          <w:tcPr>
            <w:tcW w:w="1653" w:type="dxa"/>
            <w:vAlign w:val="center"/>
          </w:tcPr>
          <w:p w14:paraId="64D094CE">
            <w:pPr>
              <w:jc w:val="right"/>
            </w:pPr>
            <w:r>
              <w:t>0.00</w:t>
            </w:r>
          </w:p>
        </w:tc>
        <w:tc>
          <w:tcPr>
            <w:tcW w:w="1705" w:type="dxa"/>
            <w:vAlign w:val="center"/>
          </w:tcPr>
          <w:p w14:paraId="26FDD0BB">
            <w:pPr>
              <w:jc w:val="right"/>
            </w:pPr>
            <w:r>
              <w:t>0.00</w:t>
            </w:r>
          </w:p>
        </w:tc>
      </w:tr>
      <w:tr w14:paraId="3A9C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69C35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DAC588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C343D98">
            <w:pPr>
              <w:jc w:val="right"/>
            </w:pPr>
            <w:r>
              <w:t>3,052,347.96</w:t>
            </w:r>
          </w:p>
        </w:tc>
        <w:tc>
          <w:tcPr>
            <w:tcW w:w="1749" w:type="dxa"/>
            <w:shd w:val="clear" w:color="auto" w:fill="auto"/>
            <w:vAlign w:val="center"/>
          </w:tcPr>
          <w:p w14:paraId="08B4E1C5">
            <w:pPr>
              <w:jc w:val="right"/>
            </w:pPr>
            <w:r>
              <w:t>100.00</w:t>
            </w:r>
          </w:p>
        </w:tc>
        <w:tc>
          <w:tcPr>
            <w:tcW w:w="1653" w:type="dxa"/>
            <w:vAlign w:val="center"/>
          </w:tcPr>
          <w:p w14:paraId="263A2EBD">
            <w:pPr>
              <w:jc w:val="right"/>
            </w:pPr>
            <w:r>
              <w:t>0.00</w:t>
            </w:r>
          </w:p>
        </w:tc>
        <w:tc>
          <w:tcPr>
            <w:tcW w:w="1705" w:type="dxa"/>
            <w:vAlign w:val="center"/>
          </w:tcPr>
          <w:p w14:paraId="3494766B">
            <w:pPr>
              <w:jc w:val="right"/>
            </w:pPr>
            <w:r>
              <w:t>0.00</w:t>
            </w:r>
          </w:p>
        </w:tc>
      </w:tr>
      <w:tr w14:paraId="5828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20D6C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406BCE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345B54C">
            <w:pPr>
              <w:jc w:val="right"/>
            </w:pPr>
            <w:r>
              <w:t>0.00</w:t>
            </w:r>
          </w:p>
        </w:tc>
        <w:tc>
          <w:tcPr>
            <w:tcW w:w="1749" w:type="dxa"/>
            <w:shd w:val="clear" w:color="auto" w:fill="auto"/>
            <w:vAlign w:val="center"/>
          </w:tcPr>
          <w:p w14:paraId="1A898956">
            <w:pPr>
              <w:jc w:val="right"/>
            </w:pPr>
            <w:r>
              <w:t>0.00</w:t>
            </w:r>
          </w:p>
        </w:tc>
        <w:tc>
          <w:tcPr>
            <w:tcW w:w="1653" w:type="dxa"/>
            <w:vAlign w:val="center"/>
          </w:tcPr>
          <w:p w14:paraId="05F79C8B">
            <w:pPr>
              <w:jc w:val="right"/>
            </w:pPr>
            <w:r>
              <w:t>7,422.00</w:t>
            </w:r>
          </w:p>
        </w:tc>
        <w:tc>
          <w:tcPr>
            <w:tcW w:w="1705" w:type="dxa"/>
            <w:vAlign w:val="center"/>
          </w:tcPr>
          <w:p w14:paraId="3E86EB72">
            <w:pPr>
              <w:jc w:val="right"/>
            </w:pPr>
            <w:r>
              <w:t>0.24</w:t>
            </w:r>
          </w:p>
        </w:tc>
      </w:tr>
      <w:tr w14:paraId="11ED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FF0AE67">
            <w:pPr>
              <w:jc w:val="left"/>
              <w:rPr>
                <w:rFonts w:ascii="宋体" w:hAnsi="宋体"/>
                <w:szCs w:val="21"/>
              </w:rPr>
            </w:pPr>
          </w:p>
        </w:tc>
        <w:tc>
          <w:tcPr>
            <w:tcW w:w="1447" w:type="dxa"/>
            <w:shd w:val="clear" w:color="auto" w:fill="auto"/>
          </w:tcPr>
          <w:p w14:paraId="110C7F9F">
            <w:pPr>
              <w:jc w:val="left"/>
              <w:rPr>
                <w:rFonts w:ascii="宋体" w:hAnsi="宋体"/>
                <w:szCs w:val="21"/>
              </w:rPr>
            </w:pPr>
            <w:r>
              <w:rPr>
                <w:rFonts w:hint="eastAsia" w:ascii="宋体" w:hAnsi="宋体"/>
                <w:szCs w:val="21"/>
              </w:rPr>
              <w:t>合计</w:t>
            </w:r>
          </w:p>
        </w:tc>
        <w:tc>
          <w:tcPr>
            <w:tcW w:w="1697" w:type="dxa"/>
            <w:shd w:val="clear" w:color="auto" w:fill="auto"/>
          </w:tcPr>
          <w:p w14:paraId="188F0F48">
            <w:pPr>
              <w:jc w:val="right"/>
            </w:pPr>
            <w:r>
              <w:t>3,052,347.96</w:t>
            </w:r>
          </w:p>
        </w:tc>
        <w:tc>
          <w:tcPr>
            <w:tcW w:w="1749" w:type="dxa"/>
            <w:shd w:val="clear" w:color="auto" w:fill="auto"/>
          </w:tcPr>
          <w:p w14:paraId="5F6D34FB">
            <w:pPr>
              <w:jc w:val="right"/>
            </w:pPr>
            <w:r>
              <w:t>100.00</w:t>
            </w:r>
          </w:p>
        </w:tc>
        <w:tc>
          <w:tcPr>
            <w:tcW w:w="1653" w:type="dxa"/>
          </w:tcPr>
          <w:p w14:paraId="10741FA3">
            <w:pPr>
              <w:jc w:val="right"/>
            </w:pPr>
            <w:r>
              <w:t>3,436,584.84</w:t>
            </w:r>
          </w:p>
        </w:tc>
        <w:tc>
          <w:tcPr>
            <w:tcW w:w="1705" w:type="dxa"/>
          </w:tcPr>
          <w:p w14:paraId="3410972D">
            <w:pPr>
              <w:jc w:val="right"/>
            </w:pPr>
            <w:r>
              <w:t>112.59</w:t>
            </w:r>
          </w:p>
        </w:tc>
      </w:tr>
    </w:tbl>
    <w:p w14:paraId="5A213DBA">
      <w:pPr>
        <w:ind w:left="420" w:leftChars="200"/>
        <w:jc w:val="left"/>
        <w:rPr>
          <w:rFonts w:ascii="宋体" w:hAnsi="宋体"/>
          <w:sz w:val="24"/>
        </w:rPr>
      </w:pPr>
    </w:p>
    <w:p w14:paraId="5ED67800">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462F642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8EE0315">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182319F4">
      <w:pPr>
        <w:widowControl/>
        <w:jc w:val="left"/>
        <w:rPr>
          <w:rFonts w:ascii="宋体" w:hAnsi="宋体"/>
          <w:sz w:val="24"/>
        </w:rPr>
      </w:pPr>
    </w:p>
    <w:p w14:paraId="1CEBBAB0">
      <w:pPr>
        <w:pStyle w:val="41"/>
        <w:spacing w:before="156" w:after="156"/>
        <w:rPr>
          <w:b w:val="0"/>
        </w:rPr>
      </w:pPr>
      <w:r>
        <w:rPr>
          <w:rFonts w:hint="eastAsia"/>
          <w:b w:val="0"/>
        </w:rPr>
        <w:t>报告期末占资产净值比例大小排序的前十项资产</w:t>
      </w:r>
      <w:r>
        <w:rPr>
          <w:b w:val="0"/>
        </w:rPr>
        <w:t>明细</w:t>
      </w:r>
    </w:p>
    <w:p w14:paraId="4539B5E7">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C6E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AEFB4B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F454F9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7BABCE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10026B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A2E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A9D23FA">
            <w:pPr>
              <w:jc w:val="center"/>
              <w:rPr>
                <w:szCs w:val="21"/>
              </w:rPr>
            </w:pPr>
            <w:r>
              <w:rPr>
                <w:szCs w:val="21"/>
              </w:rPr>
              <w:t>1</w:t>
            </w:r>
          </w:p>
        </w:tc>
        <w:tc>
          <w:tcPr>
            <w:tcW w:w="3159" w:type="dxa"/>
            <w:shd w:val="clear" w:color="auto" w:fill="auto"/>
            <w:vAlign w:val="center"/>
          </w:tcPr>
          <w:p w14:paraId="21C14621">
            <w:pPr>
              <w:rPr>
                <w:rFonts w:asciiTheme="majorEastAsia" w:hAnsiTheme="majorEastAsia" w:eastAsiaTheme="majorEastAsia"/>
                <w:szCs w:val="21"/>
              </w:rPr>
            </w:pPr>
            <w:r>
              <w:rPr>
                <w:rFonts w:asciiTheme="majorEastAsia" w:hAnsiTheme="majorEastAsia" w:eastAsiaTheme="majorEastAsia"/>
                <w:szCs w:val="21"/>
              </w:rPr>
              <w:t>中信证券丰收信益5号集合资产管理计划</w:t>
            </w:r>
          </w:p>
        </w:tc>
        <w:tc>
          <w:tcPr>
            <w:tcW w:w="2693" w:type="dxa"/>
            <w:shd w:val="clear" w:color="auto" w:fill="auto"/>
            <w:vAlign w:val="center"/>
          </w:tcPr>
          <w:p w14:paraId="3A145BE2">
            <w:pPr>
              <w:jc w:val="right"/>
            </w:pPr>
            <w:r>
              <w:t>3,052,347.96</w:t>
            </w:r>
          </w:p>
        </w:tc>
        <w:tc>
          <w:tcPr>
            <w:tcW w:w="2431" w:type="dxa"/>
            <w:shd w:val="clear" w:color="auto" w:fill="auto"/>
            <w:vAlign w:val="center"/>
          </w:tcPr>
          <w:p w14:paraId="67B01EED">
            <w:pPr>
              <w:jc w:val="right"/>
            </w:pPr>
            <w:bookmarkStart w:id="3" w:name="OLE_LINK5"/>
            <w:bookmarkEnd w:id="3"/>
            <w:bookmarkStart w:id="4" w:name="OLE_LINK6"/>
            <w:bookmarkEnd w:id="4"/>
            <w:r>
              <w:rPr>
                <w:rFonts w:hint="eastAsia"/>
              </w:rPr>
              <w:t>100.01</w:t>
            </w:r>
          </w:p>
        </w:tc>
      </w:tr>
    </w:tbl>
    <w:p w14:paraId="06F887D9">
      <w:pPr>
        <w:rPr>
          <w:rFonts w:ascii="宋体" w:hAnsi="宋体"/>
          <w:sz w:val="24"/>
        </w:rPr>
      </w:pPr>
      <w:r>
        <w:rPr>
          <w:rFonts w:hint="eastAsia" w:ascii="宋体" w:hAnsi="宋体"/>
          <w:sz w:val="24"/>
        </w:rPr>
        <w:t xml:space="preserve"> </w:t>
      </w:r>
    </w:p>
    <w:p w14:paraId="626E740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B2D10C4">
      <w:pPr>
        <w:pStyle w:val="41"/>
        <w:spacing w:before="156" w:after="156"/>
        <w:rPr>
          <w:b w:val="0"/>
        </w:rPr>
      </w:pPr>
      <w:r>
        <w:rPr>
          <w:rFonts w:hint="eastAsia"/>
          <w:b w:val="0"/>
        </w:rPr>
        <w:t>报告期末占资产净值比例大小排序的前十项资产明细（穿透后）</w:t>
      </w:r>
    </w:p>
    <w:p w14:paraId="2262AE3B">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25DAA300">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20886F47">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7AABBCBF">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1E0A8D8C">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405EFE20">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1D212E1C">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8F48D70">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49D8C23E">
            <w:pPr>
              <w:rPr>
                <w:rFonts w:asciiTheme="majorEastAsia" w:hAnsiTheme="majorEastAsia" w:eastAsiaTheme="majorEastAsia"/>
                <w:sz w:val="20"/>
              </w:rPr>
            </w:pPr>
            <w:r>
              <w:rPr>
                <w:rFonts w:asciiTheme="majorEastAsia" w:hAnsiTheme="majorEastAsia" w:eastAsiaTheme="majorEastAsia"/>
                <w:szCs w:val="21"/>
              </w:rPr>
              <w:t>23温州银行永续债02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6889E889">
            <w:pPr>
              <w:jc w:val="right"/>
              <w:rPr>
                <w:rFonts w:eastAsia="Times New Roman"/>
                <w:sz w:val="20"/>
              </w:rPr>
            </w:pPr>
            <w:r>
              <w:rPr>
                <w:rFonts w:hint="eastAsia"/>
              </w:rPr>
              <w:t>164,250.08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501D0425">
            <w:pPr>
              <w:jc w:val="right"/>
              <w:rPr>
                <w:rFonts w:eastAsia="Times New Roman"/>
                <w:sz w:val="20"/>
              </w:rPr>
            </w:pPr>
            <w:r>
              <w:rPr>
                <w:rFonts w:hint="eastAsia"/>
              </w:rPr>
              <w:t>5.38</w:t>
            </w:r>
          </w:p>
        </w:tc>
      </w:tr>
      <w:tr w14:paraId="1F8E017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9BE8F00">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7F754557">
            <w:pPr>
              <w:ind w:hanging="1"/>
              <w:jc w:val="left"/>
              <w:rPr>
                <w:rFonts w:asciiTheme="majorEastAsia" w:hAnsiTheme="majorEastAsia" w:eastAsiaTheme="majorEastAsia"/>
                <w:sz w:val="20"/>
              </w:rPr>
            </w:pPr>
            <w:r>
              <w:rPr>
                <w:b w:val="0"/>
                <w:i w:val="0"/>
                <w:strike w:val="0"/>
                <w:u w:val="none"/>
              </w:rPr>
              <w:t>22民泰商行永续债02</w:t>
            </w:r>
          </w:p>
        </w:tc>
        <w:tc>
          <w:tcPr>
            <w:tcW w:w="2693" w:type="dxa"/>
            <w:tcBorders>
              <w:top w:val="nil"/>
              <w:left w:val="nil"/>
              <w:bottom w:val="single" w:color="auto" w:sz="8" w:space="0"/>
              <w:right w:val="single" w:color="auto" w:sz="8" w:space="0"/>
            </w:tcBorders>
            <w:shd w:val="clear" w:color="auto" w:fill="auto"/>
          </w:tcPr>
          <w:p w14:paraId="4579A1B3">
            <w:pPr>
              <w:ind w:hanging="1"/>
              <w:jc w:val="right"/>
              <w:rPr>
                <w:rFonts w:eastAsia="Times New Roman"/>
                <w:sz w:val="20"/>
              </w:rPr>
            </w:pPr>
            <w:r>
              <w:rPr>
                <w:b w:val="0"/>
                <w:i w:val="0"/>
                <w:strike w:val="0"/>
                <w:u w:val="none"/>
              </w:rPr>
              <w:t>131,617.85</w:t>
            </w:r>
          </w:p>
        </w:tc>
        <w:tc>
          <w:tcPr>
            <w:tcW w:w="2431" w:type="dxa"/>
            <w:tcBorders>
              <w:top w:val="nil"/>
              <w:left w:val="nil"/>
              <w:bottom w:val="single" w:color="auto" w:sz="8" w:space="0"/>
              <w:right w:val="single" w:color="auto" w:sz="8" w:space="0"/>
            </w:tcBorders>
            <w:shd w:val="clear" w:color="auto" w:fill="auto"/>
          </w:tcPr>
          <w:p w14:paraId="730BF9F8">
            <w:pPr>
              <w:ind w:hanging="1"/>
              <w:jc w:val="right"/>
              <w:rPr>
                <w:rFonts w:eastAsia="Times New Roman"/>
                <w:sz w:val="20"/>
              </w:rPr>
            </w:pPr>
            <w:r>
              <w:rPr>
                <w:b w:val="0"/>
                <w:i w:val="0"/>
                <w:strike w:val="0"/>
                <w:u w:val="none"/>
              </w:rPr>
              <w:t>4.31</w:t>
            </w:r>
          </w:p>
        </w:tc>
      </w:tr>
      <w:tr w14:paraId="777DA21C">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EC28D80">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0004AE40">
            <w:pPr>
              <w:ind w:hanging="1"/>
              <w:jc w:val="left"/>
              <w:rPr>
                <w:rFonts w:asciiTheme="majorEastAsia" w:hAnsiTheme="majorEastAsia" w:eastAsiaTheme="majorEastAsia"/>
                <w:sz w:val="20"/>
              </w:rPr>
            </w:pPr>
            <w:r>
              <w:rPr>
                <w:b w:val="0"/>
                <w:i w:val="0"/>
                <w:strike w:val="0"/>
                <w:u w:val="none"/>
              </w:rPr>
              <w:t>21恒丰银行永续债</w:t>
            </w:r>
          </w:p>
        </w:tc>
        <w:tc>
          <w:tcPr>
            <w:tcW w:w="2693" w:type="dxa"/>
            <w:tcBorders>
              <w:top w:val="nil"/>
              <w:left w:val="nil"/>
              <w:bottom w:val="single" w:color="auto" w:sz="8" w:space="0"/>
              <w:right w:val="single" w:color="auto" w:sz="8" w:space="0"/>
            </w:tcBorders>
            <w:shd w:val="clear" w:color="auto" w:fill="auto"/>
          </w:tcPr>
          <w:p w14:paraId="5811022B">
            <w:pPr>
              <w:ind w:hanging="1"/>
              <w:jc w:val="right"/>
              <w:rPr>
                <w:rFonts w:eastAsia="Times New Roman"/>
                <w:sz w:val="20"/>
              </w:rPr>
            </w:pPr>
            <w:r>
              <w:rPr>
                <w:b w:val="0"/>
                <w:i w:val="0"/>
                <w:strike w:val="0"/>
                <w:u w:val="none"/>
              </w:rPr>
              <w:t>131,587.58</w:t>
            </w:r>
          </w:p>
        </w:tc>
        <w:tc>
          <w:tcPr>
            <w:tcW w:w="2431" w:type="dxa"/>
            <w:tcBorders>
              <w:top w:val="nil"/>
              <w:left w:val="nil"/>
              <w:bottom w:val="single" w:color="auto" w:sz="8" w:space="0"/>
              <w:right w:val="single" w:color="auto" w:sz="8" w:space="0"/>
            </w:tcBorders>
            <w:shd w:val="clear" w:color="auto" w:fill="auto"/>
          </w:tcPr>
          <w:p w14:paraId="29BCF883">
            <w:pPr>
              <w:ind w:hanging="1"/>
              <w:jc w:val="right"/>
              <w:rPr>
                <w:rFonts w:eastAsia="Times New Roman"/>
                <w:sz w:val="20"/>
              </w:rPr>
            </w:pPr>
            <w:r>
              <w:rPr>
                <w:b w:val="0"/>
                <w:i w:val="0"/>
                <w:strike w:val="0"/>
                <w:u w:val="none"/>
              </w:rPr>
              <w:t>4.31</w:t>
            </w:r>
          </w:p>
        </w:tc>
      </w:tr>
      <w:tr w14:paraId="1DF531B2">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D1991CD">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5CF33240">
            <w:pPr>
              <w:ind w:hanging="1"/>
              <w:jc w:val="left"/>
              <w:rPr>
                <w:rFonts w:asciiTheme="majorEastAsia" w:hAnsiTheme="majorEastAsia" w:eastAsiaTheme="majorEastAsia"/>
                <w:sz w:val="20"/>
              </w:rPr>
            </w:pPr>
            <w:r>
              <w:rPr>
                <w:b w:val="0"/>
                <w:i w:val="0"/>
                <w:strike w:val="0"/>
                <w:u w:val="none"/>
              </w:rPr>
              <w:t>22厦门农商二级01</w:t>
            </w:r>
          </w:p>
        </w:tc>
        <w:tc>
          <w:tcPr>
            <w:tcW w:w="2693" w:type="dxa"/>
            <w:tcBorders>
              <w:top w:val="nil"/>
              <w:left w:val="nil"/>
              <w:bottom w:val="single" w:color="auto" w:sz="8" w:space="0"/>
              <w:right w:val="single" w:color="auto" w:sz="8" w:space="0"/>
            </w:tcBorders>
            <w:shd w:val="clear" w:color="auto" w:fill="auto"/>
          </w:tcPr>
          <w:p w14:paraId="6D000AFD">
            <w:pPr>
              <w:ind w:hanging="1"/>
              <w:jc w:val="right"/>
              <w:rPr>
                <w:rFonts w:eastAsia="Times New Roman"/>
                <w:sz w:val="20"/>
              </w:rPr>
            </w:pPr>
            <w:r>
              <w:rPr>
                <w:b w:val="0"/>
                <w:i w:val="0"/>
                <w:strike w:val="0"/>
                <w:u w:val="none"/>
              </w:rPr>
              <w:t>103,260.73</w:t>
            </w:r>
          </w:p>
        </w:tc>
        <w:tc>
          <w:tcPr>
            <w:tcW w:w="2431" w:type="dxa"/>
            <w:tcBorders>
              <w:top w:val="nil"/>
              <w:left w:val="nil"/>
              <w:bottom w:val="single" w:color="auto" w:sz="8" w:space="0"/>
              <w:right w:val="single" w:color="auto" w:sz="8" w:space="0"/>
            </w:tcBorders>
            <w:shd w:val="clear" w:color="auto" w:fill="auto"/>
          </w:tcPr>
          <w:p w14:paraId="246DD737">
            <w:pPr>
              <w:ind w:hanging="1"/>
              <w:jc w:val="right"/>
              <w:rPr>
                <w:rFonts w:eastAsia="Times New Roman"/>
                <w:sz w:val="20"/>
              </w:rPr>
            </w:pPr>
            <w:r>
              <w:rPr>
                <w:b w:val="0"/>
                <w:i w:val="0"/>
                <w:strike w:val="0"/>
                <w:u w:val="none"/>
              </w:rPr>
              <w:t>3.38</w:t>
            </w:r>
          </w:p>
        </w:tc>
      </w:tr>
      <w:tr w14:paraId="7222E88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8738919">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493E9CB2">
            <w:pPr>
              <w:ind w:hanging="1"/>
              <w:jc w:val="left"/>
              <w:rPr>
                <w:rFonts w:asciiTheme="majorEastAsia" w:hAnsiTheme="majorEastAsia" w:eastAsiaTheme="majorEastAsia"/>
                <w:sz w:val="20"/>
              </w:rPr>
            </w:pPr>
            <w:r>
              <w:rPr>
                <w:b w:val="0"/>
                <w:i w:val="0"/>
                <w:strike w:val="0"/>
                <w:u w:val="none"/>
              </w:rPr>
              <w:t>24即墨旅投PPN001</w:t>
            </w:r>
          </w:p>
        </w:tc>
        <w:tc>
          <w:tcPr>
            <w:tcW w:w="2693" w:type="dxa"/>
            <w:tcBorders>
              <w:top w:val="nil"/>
              <w:left w:val="nil"/>
              <w:bottom w:val="single" w:color="auto" w:sz="8" w:space="0"/>
              <w:right w:val="single" w:color="auto" w:sz="8" w:space="0"/>
            </w:tcBorders>
            <w:shd w:val="clear" w:color="auto" w:fill="auto"/>
          </w:tcPr>
          <w:p w14:paraId="5A04C132">
            <w:pPr>
              <w:ind w:hanging="1"/>
              <w:jc w:val="right"/>
              <w:rPr>
                <w:rFonts w:eastAsia="Times New Roman"/>
                <w:sz w:val="20"/>
              </w:rPr>
            </w:pPr>
            <w:r>
              <w:rPr>
                <w:b w:val="0"/>
                <w:i w:val="0"/>
                <w:strike w:val="0"/>
                <w:u w:val="none"/>
              </w:rPr>
              <w:t>101,030.36</w:t>
            </w:r>
          </w:p>
        </w:tc>
        <w:tc>
          <w:tcPr>
            <w:tcW w:w="2431" w:type="dxa"/>
            <w:tcBorders>
              <w:top w:val="nil"/>
              <w:left w:val="nil"/>
              <w:bottom w:val="single" w:color="auto" w:sz="8" w:space="0"/>
              <w:right w:val="single" w:color="auto" w:sz="8" w:space="0"/>
            </w:tcBorders>
            <w:shd w:val="clear" w:color="auto" w:fill="auto"/>
          </w:tcPr>
          <w:p w14:paraId="36E5F53B">
            <w:pPr>
              <w:ind w:hanging="1"/>
              <w:jc w:val="right"/>
              <w:rPr>
                <w:rFonts w:eastAsia="Times New Roman"/>
                <w:sz w:val="20"/>
              </w:rPr>
            </w:pPr>
            <w:r>
              <w:rPr>
                <w:b w:val="0"/>
                <w:i w:val="0"/>
                <w:strike w:val="0"/>
                <w:u w:val="none"/>
              </w:rPr>
              <w:t>3.31</w:t>
            </w:r>
          </w:p>
        </w:tc>
      </w:tr>
      <w:tr w14:paraId="192DF3B8">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110F01B">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4A319FE1">
            <w:pPr>
              <w:ind w:hanging="1"/>
              <w:jc w:val="left"/>
              <w:rPr>
                <w:rFonts w:asciiTheme="majorEastAsia" w:hAnsiTheme="majorEastAsia" w:eastAsiaTheme="majorEastAsia"/>
                <w:sz w:val="20"/>
              </w:rPr>
            </w:pPr>
            <w:r>
              <w:rPr>
                <w:b w:val="0"/>
                <w:i w:val="0"/>
                <w:strike w:val="0"/>
                <w:u w:val="none"/>
              </w:rPr>
              <w:t>24鄂联投MTN005</w:t>
            </w:r>
          </w:p>
        </w:tc>
        <w:tc>
          <w:tcPr>
            <w:tcW w:w="2693" w:type="dxa"/>
            <w:tcBorders>
              <w:top w:val="nil"/>
              <w:left w:val="nil"/>
              <w:bottom w:val="single" w:color="auto" w:sz="8" w:space="0"/>
              <w:right w:val="single" w:color="auto" w:sz="8" w:space="0"/>
            </w:tcBorders>
            <w:shd w:val="clear" w:color="auto" w:fill="auto"/>
          </w:tcPr>
          <w:p w14:paraId="2408EB42">
            <w:pPr>
              <w:ind w:hanging="1"/>
              <w:jc w:val="right"/>
              <w:rPr>
                <w:rFonts w:eastAsia="Times New Roman"/>
                <w:sz w:val="20"/>
              </w:rPr>
            </w:pPr>
            <w:r>
              <w:rPr>
                <w:b w:val="0"/>
                <w:i w:val="0"/>
                <w:strike w:val="0"/>
                <w:u w:val="none"/>
              </w:rPr>
              <w:t>100,655.76</w:t>
            </w:r>
          </w:p>
        </w:tc>
        <w:tc>
          <w:tcPr>
            <w:tcW w:w="2431" w:type="dxa"/>
            <w:tcBorders>
              <w:top w:val="nil"/>
              <w:left w:val="nil"/>
              <w:bottom w:val="single" w:color="auto" w:sz="8" w:space="0"/>
              <w:right w:val="single" w:color="auto" w:sz="8" w:space="0"/>
            </w:tcBorders>
            <w:shd w:val="clear" w:color="auto" w:fill="auto"/>
          </w:tcPr>
          <w:p w14:paraId="44710A52">
            <w:pPr>
              <w:ind w:hanging="1"/>
              <w:jc w:val="right"/>
              <w:rPr>
                <w:rFonts w:eastAsia="Times New Roman"/>
                <w:sz w:val="20"/>
              </w:rPr>
            </w:pPr>
            <w:r>
              <w:rPr>
                <w:b w:val="0"/>
                <w:i w:val="0"/>
                <w:strike w:val="0"/>
                <w:u w:val="none"/>
              </w:rPr>
              <w:t>3.30</w:t>
            </w:r>
          </w:p>
        </w:tc>
      </w:tr>
      <w:tr w14:paraId="7F857300">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FB3C5F8">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16EAF4A5">
            <w:pPr>
              <w:ind w:hanging="1"/>
              <w:jc w:val="left"/>
              <w:rPr>
                <w:rFonts w:asciiTheme="majorEastAsia" w:hAnsiTheme="majorEastAsia" w:eastAsiaTheme="majorEastAsia"/>
                <w:sz w:val="20"/>
              </w:rPr>
            </w:pPr>
            <w:r>
              <w:rPr>
                <w:b w:val="0"/>
                <w:i w:val="0"/>
                <w:strike w:val="0"/>
                <w:u w:val="none"/>
              </w:rPr>
              <w:t>23凯盛科技MTN002</w:t>
            </w:r>
          </w:p>
        </w:tc>
        <w:tc>
          <w:tcPr>
            <w:tcW w:w="2693" w:type="dxa"/>
            <w:tcBorders>
              <w:top w:val="nil"/>
              <w:left w:val="nil"/>
              <w:bottom w:val="single" w:color="auto" w:sz="8" w:space="0"/>
              <w:right w:val="single" w:color="auto" w:sz="8" w:space="0"/>
            </w:tcBorders>
            <w:shd w:val="clear" w:color="auto" w:fill="auto"/>
          </w:tcPr>
          <w:p w14:paraId="5AABBE57">
            <w:pPr>
              <w:ind w:hanging="1"/>
              <w:jc w:val="right"/>
              <w:rPr>
                <w:rFonts w:eastAsia="Times New Roman"/>
                <w:sz w:val="20"/>
              </w:rPr>
            </w:pPr>
            <w:r>
              <w:rPr>
                <w:b w:val="0"/>
                <w:i w:val="0"/>
                <w:strike w:val="0"/>
                <w:u w:val="none"/>
              </w:rPr>
              <w:t>100,603.87</w:t>
            </w:r>
          </w:p>
        </w:tc>
        <w:tc>
          <w:tcPr>
            <w:tcW w:w="2431" w:type="dxa"/>
            <w:tcBorders>
              <w:top w:val="nil"/>
              <w:left w:val="nil"/>
              <w:bottom w:val="single" w:color="auto" w:sz="8" w:space="0"/>
              <w:right w:val="single" w:color="auto" w:sz="8" w:space="0"/>
            </w:tcBorders>
            <w:shd w:val="clear" w:color="auto" w:fill="auto"/>
          </w:tcPr>
          <w:p w14:paraId="56F9D4A8">
            <w:pPr>
              <w:ind w:hanging="1"/>
              <w:jc w:val="right"/>
              <w:rPr>
                <w:rFonts w:eastAsia="Times New Roman"/>
                <w:sz w:val="20"/>
              </w:rPr>
            </w:pPr>
            <w:r>
              <w:rPr>
                <w:b w:val="0"/>
                <w:i w:val="0"/>
                <w:strike w:val="0"/>
                <w:u w:val="none"/>
              </w:rPr>
              <w:t>3.30</w:t>
            </w:r>
          </w:p>
        </w:tc>
      </w:tr>
      <w:tr w14:paraId="440FE1DD">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D7D2C75">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449F7E57">
            <w:pPr>
              <w:ind w:hanging="1"/>
              <w:jc w:val="left"/>
              <w:rPr>
                <w:rFonts w:asciiTheme="majorEastAsia" w:hAnsiTheme="majorEastAsia" w:eastAsiaTheme="majorEastAsia"/>
                <w:sz w:val="20"/>
              </w:rPr>
            </w:pPr>
            <w:r>
              <w:rPr>
                <w:b w:val="0"/>
                <w:i w:val="0"/>
                <w:strike w:val="0"/>
                <w:u w:val="none"/>
              </w:rPr>
              <w:t>24知投02</w:t>
            </w:r>
          </w:p>
        </w:tc>
        <w:tc>
          <w:tcPr>
            <w:tcW w:w="2693" w:type="dxa"/>
            <w:tcBorders>
              <w:top w:val="nil"/>
              <w:left w:val="nil"/>
              <w:bottom w:val="single" w:color="auto" w:sz="8" w:space="0"/>
              <w:right w:val="single" w:color="auto" w:sz="8" w:space="0"/>
            </w:tcBorders>
            <w:shd w:val="clear" w:color="auto" w:fill="auto"/>
          </w:tcPr>
          <w:p w14:paraId="530F5C08">
            <w:pPr>
              <w:ind w:hanging="1"/>
              <w:jc w:val="right"/>
              <w:rPr>
                <w:rFonts w:eastAsia="Times New Roman"/>
                <w:sz w:val="20"/>
              </w:rPr>
            </w:pPr>
            <w:r>
              <w:rPr>
                <w:b w:val="0"/>
                <w:i w:val="0"/>
                <w:strike w:val="0"/>
                <w:u w:val="none"/>
              </w:rPr>
              <w:t>100,246.19</w:t>
            </w:r>
          </w:p>
        </w:tc>
        <w:tc>
          <w:tcPr>
            <w:tcW w:w="2431" w:type="dxa"/>
            <w:tcBorders>
              <w:top w:val="nil"/>
              <w:left w:val="nil"/>
              <w:bottom w:val="single" w:color="auto" w:sz="8" w:space="0"/>
              <w:right w:val="single" w:color="auto" w:sz="8" w:space="0"/>
            </w:tcBorders>
            <w:shd w:val="clear" w:color="auto" w:fill="auto"/>
          </w:tcPr>
          <w:p w14:paraId="5FEFF4C5">
            <w:pPr>
              <w:ind w:hanging="1"/>
              <w:jc w:val="right"/>
              <w:rPr>
                <w:rFonts w:eastAsia="Times New Roman"/>
                <w:sz w:val="20"/>
              </w:rPr>
            </w:pPr>
            <w:r>
              <w:rPr>
                <w:b w:val="0"/>
                <w:i w:val="0"/>
                <w:strike w:val="0"/>
                <w:u w:val="none"/>
              </w:rPr>
              <w:t>3.28</w:t>
            </w:r>
          </w:p>
        </w:tc>
      </w:tr>
      <w:tr w14:paraId="7D99F1AC">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D8AB8FD">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6CF98666">
            <w:pPr>
              <w:ind w:hanging="1"/>
              <w:jc w:val="left"/>
              <w:rPr>
                <w:rFonts w:asciiTheme="majorEastAsia" w:hAnsiTheme="majorEastAsia" w:eastAsiaTheme="majorEastAsia"/>
                <w:sz w:val="20"/>
              </w:rPr>
            </w:pPr>
            <w:r>
              <w:rPr>
                <w:b w:val="0"/>
                <w:i w:val="0"/>
                <w:strike w:val="0"/>
                <w:u w:val="none"/>
              </w:rPr>
              <w:t>24青科控股PPN001</w:t>
            </w:r>
          </w:p>
        </w:tc>
        <w:tc>
          <w:tcPr>
            <w:tcW w:w="2693" w:type="dxa"/>
            <w:tcBorders>
              <w:top w:val="nil"/>
              <w:left w:val="nil"/>
              <w:bottom w:val="single" w:color="auto" w:sz="8" w:space="0"/>
              <w:right w:val="single" w:color="auto" w:sz="8" w:space="0"/>
            </w:tcBorders>
            <w:shd w:val="clear" w:color="auto" w:fill="auto"/>
          </w:tcPr>
          <w:p w14:paraId="1A2DE0F8">
            <w:pPr>
              <w:ind w:hanging="1"/>
              <w:jc w:val="right"/>
              <w:rPr>
                <w:rFonts w:eastAsia="Times New Roman"/>
                <w:sz w:val="20"/>
              </w:rPr>
            </w:pPr>
            <w:r>
              <w:rPr>
                <w:b w:val="0"/>
                <w:i w:val="0"/>
                <w:strike w:val="0"/>
                <w:u w:val="none"/>
              </w:rPr>
              <w:t>99,768.34</w:t>
            </w:r>
          </w:p>
        </w:tc>
        <w:tc>
          <w:tcPr>
            <w:tcW w:w="2431" w:type="dxa"/>
            <w:tcBorders>
              <w:top w:val="nil"/>
              <w:left w:val="nil"/>
              <w:bottom w:val="single" w:color="auto" w:sz="8" w:space="0"/>
              <w:right w:val="single" w:color="auto" w:sz="8" w:space="0"/>
            </w:tcBorders>
            <w:shd w:val="clear" w:color="auto" w:fill="auto"/>
          </w:tcPr>
          <w:p w14:paraId="3D987D4F">
            <w:pPr>
              <w:ind w:hanging="1"/>
              <w:jc w:val="right"/>
              <w:rPr>
                <w:rFonts w:eastAsia="Times New Roman"/>
                <w:sz w:val="20"/>
              </w:rPr>
            </w:pPr>
            <w:r>
              <w:rPr>
                <w:b w:val="0"/>
                <w:i w:val="0"/>
                <w:strike w:val="0"/>
                <w:u w:val="none"/>
              </w:rPr>
              <w:t>3.27</w:t>
            </w:r>
          </w:p>
        </w:tc>
      </w:tr>
      <w:tr w14:paraId="6134F1F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D94E65F">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7009A806">
            <w:pPr>
              <w:ind w:hanging="1"/>
              <w:jc w:val="left"/>
              <w:rPr>
                <w:rFonts w:asciiTheme="majorEastAsia" w:hAnsiTheme="majorEastAsia" w:eastAsiaTheme="majorEastAsia"/>
                <w:sz w:val="20"/>
              </w:rPr>
            </w:pPr>
            <w:r>
              <w:rPr>
                <w:b w:val="0"/>
                <w:i w:val="0"/>
                <w:strike w:val="0"/>
                <w:u w:val="none"/>
              </w:rPr>
              <w:t>25上合控股PPN002</w:t>
            </w:r>
          </w:p>
        </w:tc>
        <w:tc>
          <w:tcPr>
            <w:tcW w:w="2693" w:type="dxa"/>
            <w:tcBorders>
              <w:top w:val="nil"/>
              <w:left w:val="nil"/>
              <w:bottom w:val="single" w:color="auto" w:sz="8" w:space="0"/>
              <w:right w:val="single" w:color="auto" w:sz="8" w:space="0"/>
            </w:tcBorders>
            <w:shd w:val="clear" w:color="auto" w:fill="auto"/>
          </w:tcPr>
          <w:p w14:paraId="2676B3F9">
            <w:pPr>
              <w:ind w:hanging="1"/>
              <w:jc w:val="right"/>
              <w:rPr>
                <w:rFonts w:eastAsia="Times New Roman"/>
                <w:sz w:val="20"/>
              </w:rPr>
            </w:pPr>
            <w:r>
              <w:rPr>
                <w:b w:val="0"/>
                <w:i w:val="0"/>
                <w:strike w:val="0"/>
                <w:u w:val="none"/>
              </w:rPr>
              <w:t>99,194.28</w:t>
            </w:r>
          </w:p>
        </w:tc>
        <w:tc>
          <w:tcPr>
            <w:tcW w:w="2431" w:type="dxa"/>
            <w:tcBorders>
              <w:top w:val="nil"/>
              <w:left w:val="nil"/>
              <w:bottom w:val="single" w:color="auto" w:sz="8" w:space="0"/>
              <w:right w:val="single" w:color="auto" w:sz="8" w:space="0"/>
            </w:tcBorders>
            <w:shd w:val="clear" w:color="auto" w:fill="auto"/>
          </w:tcPr>
          <w:p w14:paraId="361780F5">
            <w:pPr>
              <w:ind w:hanging="1"/>
              <w:jc w:val="right"/>
              <w:rPr>
                <w:rFonts w:eastAsia="Times New Roman"/>
                <w:sz w:val="20"/>
              </w:rPr>
            </w:pPr>
            <w:r>
              <w:rPr>
                <w:b w:val="0"/>
                <w:i w:val="0"/>
                <w:strike w:val="0"/>
                <w:u w:val="none"/>
              </w:rPr>
              <w:t>3.25</w:t>
            </w:r>
          </w:p>
        </w:tc>
      </w:tr>
    </w:tbl>
    <w:p w14:paraId="5DDE9E00">
      <w:pPr>
        <w:spacing w:before="100" w:beforeAutospacing="1" w:after="100" w:afterAutospacing="1"/>
      </w:pPr>
      <w:r>
        <w:rPr>
          <w:rFonts w:hint="eastAsia"/>
        </w:rPr>
        <w:t>注：前十项资产明细仅包含证券投资、场外投资，不包含银行活期存款、存出保证金、清算备付金等资产。</w:t>
      </w:r>
    </w:p>
    <w:p w14:paraId="6D9DD0AF">
      <w:pPr>
        <w:pStyle w:val="40"/>
      </w:pPr>
      <w:r>
        <w:t>托管人报告</w:t>
      </w:r>
    </w:p>
    <w:p w14:paraId="70CCB8B8">
      <w:pPr>
        <w:spacing w:line="360" w:lineRule="auto"/>
        <w:ind w:right="-107" w:rightChars="-51"/>
        <w:jc w:val="left"/>
        <w:rPr>
          <w:rFonts w:hint="eastAsia" w:ascii="宋体" w:hAnsi="宋体"/>
          <w:szCs w:val="21"/>
        </w:rPr>
      </w:pPr>
      <w:r>
        <w:rPr>
          <w:rFonts w:hint="eastAsia" w:ascii="宋体" w:hAnsi="宋体"/>
          <w:szCs w:val="21"/>
        </w:rPr>
        <w:t>5.1、托管人履职情况</w:t>
      </w:r>
    </w:p>
    <w:p w14:paraId="4789B6FC">
      <w:pPr>
        <w:spacing w:line="360" w:lineRule="auto"/>
        <w:ind w:right="-107" w:rightChars="-51"/>
        <w:jc w:val="left"/>
        <w:rPr>
          <w:rFonts w:hint="eastAsia" w:ascii="宋体" w:hAnsi="宋体"/>
          <w:szCs w:val="21"/>
        </w:rPr>
      </w:pPr>
      <w:r>
        <w:rPr>
          <w:rFonts w:hint="eastAsia" w:ascii="宋体" w:hAnsi="宋体"/>
          <w:szCs w:val="21"/>
        </w:rPr>
        <w:t>（一）托管资产保管</w:t>
      </w:r>
    </w:p>
    <w:p w14:paraId="0F772EA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E404331">
      <w:pPr>
        <w:spacing w:line="360" w:lineRule="auto"/>
        <w:ind w:right="-107" w:rightChars="-51"/>
        <w:jc w:val="left"/>
        <w:rPr>
          <w:rFonts w:hint="eastAsia" w:ascii="宋体" w:hAnsi="宋体"/>
          <w:szCs w:val="21"/>
        </w:rPr>
      </w:pPr>
      <w:r>
        <w:rPr>
          <w:rFonts w:hint="eastAsia" w:ascii="宋体" w:hAnsi="宋体"/>
          <w:szCs w:val="21"/>
        </w:rPr>
        <w:t>（二）会计核算和估值</w:t>
      </w:r>
    </w:p>
    <w:p w14:paraId="7BD712E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069F26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9397BC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9A6CDB0">
      <w:pPr>
        <w:spacing w:line="360" w:lineRule="auto"/>
        <w:ind w:right="-107" w:rightChars="-51"/>
        <w:jc w:val="left"/>
        <w:rPr>
          <w:rFonts w:hint="eastAsia" w:ascii="宋体" w:hAnsi="宋体"/>
          <w:szCs w:val="21"/>
        </w:rPr>
      </w:pPr>
      <w:r>
        <w:rPr>
          <w:rFonts w:hint="eastAsia" w:ascii="宋体" w:hAnsi="宋体"/>
          <w:szCs w:val="21"/>
        </w:rPr>
        <w:t>（四）投资监督</w:t>
      </w:r>
    </w:p>
    <w:p w14:paraId="29ADB84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695647D">
      <w:pPr>
        <w:spacing w:line="360" w:lineRule="auto"/>
        <w:ind w:right="-107" w:rightChars="-51"/>
        <w:jc w:val="left"/>
        <w:rPr>
          <w:rFonts w:hint="eastAsia" w:ascii="宋体" w:hAnsi="宋体"/>
          <w:szCs w:val="21"/>
        </w:rPr>
      </w:pPr>
      <w:r>
        <w:rPr>
          <w:rFonts w:hint="eastAsia" w:ascii="宋体" w:hAnsi="宋体"/>
          <w:szCs w:val="21"/>
        </w:rPr>
        <w:t>5.2、托管人声明</w:t>
      </w:r>
    </w:p>
    <w:p w14:paraId="3AED8D4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A353937">
      <w:pPr>
        <w:jc w:val="right"/>
        <w:rPr>
          <w:rFonts w:ascii="宋体" w:hAnsi="宋体"/>
          <w:sz w:val="24"/>
        </w:rPr>
      </w:pPr>
    </w:p>
    <w:p w14:paraId="69BD1EAF">
      <w:pPr>
        <w:jc w:val="right"/>
        <w:rPr>
          <w:rFonts w:ascii="宋体" w:hAnsi="宋体"/>
          <w:sz w:val="28"/>
          <w:szCs w:val="28"/>
        </w:rPr>
      </w:pPr>
      <w:r>
        <w:rPr>
          <w:rFonts w:ascii="宋体" w:hAnsi="宋体"/>
          <w:sz w:val="28"/>
          <w:szCs w:val="28"/>
        </w:rPr>
        <w:t>浙江桐庐农村商业银行股份有限公司</w:t>
      </w:r>
    </w:p>
    <w:p w14:paraId="612453A1">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02660">
    <w:pPr>
      <w:pStyle w:val="10"/>
      <w:framePr w:wrap="around" w:vAnchor="text" w:hAnchor="margin" w:xAlign="right" w:y="1"/>
      <w:rPr>
        <w:rStyle w:val="20"/>
      </w:rPr>
    </w:pPr>
    <w:r>
      <w:rPr>
        <w:rStyle w:val="20"/>
        <w:rFonts w:hint="eastAsia"/>
      </w:rPr>
      <w:t xml:space="preserve"> </w:t>
    </w:r>
  </w:p>
  <w:p w14:paraId="7841492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E2C2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EA1E10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320DDE"/>
    <w:rsid w:val="13D4665E"/>
    <w:rsid w:val="1DD13355"/>
    <w:rsid w:val="1F246194"/>
    <w:rsid w:val="30D863E3"/>
    <w:rsid w:val="35844C1F"/>
    <w:rsid w:val="378A66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999</Words>
  <Characters>1436</Characters>
  <Lines>14</Lines>
  <Paragraphs>4</Paragraphs>
  <TotalTime>0</TotalTime>
  <ScaleCrop>false</ScaleCrop>
  <LinksUpToDate>false</LinksUpToDate>
  <CharactersWithSpaces>1473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2025-04-18T00:26:00Z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