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
        <w:tblW w:w="0" w:type="auto"/>
        <w:tblInd w:w="0" w:type="dxa"/>
        <w:tblLayout w:type="fixed"/>
        <w:tblCellMar>
          <w:top w:w="0" w:type="dxa"/>
          <w:left w:w="10" w:type="dxa"/>
          <w:bottom w:w="0" w:type="dxa"/>
          <w:right w:w="10" w:type="dxa"/>
        </w:tblCellMar>
      </w:tblPr>
      <w:tblGrid>
        <w:gridCol w:w="1"/>
        <w:gridCol w:w="20"/>
        <w:gridCol w:w="20"/>
        <w:gridCol w:w="60"/>
        <w:gridCol w:w="100"/>
        <w:gridCol w:w="2820"/>
        <w:gridCol w:w="380"/>
        <w:gridCol w:w="740"/>
        <w:gridCol w:w="260"/>
        <w:gridCol w:w="1000"/>
        <w:gridCol w:w="1000"/>
        <w:gridCol w:w="1000"/>
        <w:gridCol w:w="2620"/>
        <w:gridCol w:w="480"/>
        <w:gridCol w:w="200"/>
        <w:gridCol w:w="1"/>
        <w:gridCol w:w="19"/>
        <w:gridCol w:w="1"/>
        <w:gridCol w:w="19"/>
        <w:gridCol w:w="1"/>
      </w:tblGrid>
      <w:tr>
        <w:tblPrEx>
          <w:tblCellMar>
            <w:top w:w="0" w:type="dxa"/>
            <w:left w:w="10" w:type="dxa"/>
            <w:bottom w:w="0" w:type="dxa"/>
            <w:right w:w="10" w:type="dxa"/>
          </w:tblCellMar>
        </w:tblPrEx>
        <w:trPr>
          <w:gridAfter w:val="4"/>
          <w:wAfter w:w="40" w:type="dxa"/>
          <w:trHeight w:val="0" w:hRule="atLeast"/>
        </w:trPr>
        <w:tc>
          <w:p>
            <w:pPr>
              <w:pStyle w:val="4"/>
              <w:rPr>
                <w:rFonts w:hint="eastAsia" w:ascii="微软雅黑" w:hAnsi="微软雅黑" w:eastAsia="微软雅黑" w:cs="微软雅黑"/>
              </w:rPr>
            </w:pPr>
            <w:bookmarkStart w:id="0" w:name="JR_PAGE_ANCHOR_0_1"/>
            <w:bookmarkEnd w:id="0"/>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96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302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spacing w:before="0" w:after="0" w:line="360" w:lineRule="auto"/>
              <w:jc w:val="center"/>
              <w:rPr>
                <w:rFonts w:hint="eastAsia" w:ascii="微软雅黑" w:hAnsi="微软雅黑" w:eastAsia="微软雅黑" w:cs="微软雅黑"/>
              </w:rPr>
            </w:pPr>
            <w:r>
              <w:rPr>
                <w:rFonts w:hint="eastAsia" w:ascii="微软雅黑" w:hAnsi="微软雅黑" w:eastAsia="微软雅黑" w:cs="微软雅黑"/>
                <w:b/>
                <w:color w:val="000000"/>
                <w:sz w:val="32"/>
              </w:rPr>
              <w:t>兴银理财稳利丰收封闭式123号固收类理财产品</w:t>
            </w:r>
            <w:r>
              <w:rPr>
                <w:rFonts w:hint="eastAsia" w:ascii="微软雅黑" w:hAnsi="微软雅黑" w:eastAsia="微软雅黑" w:cs="微软雅黑"/>
                <w:b/>
                <w:color w:val="000000"/>
                <w:sz w:val="32"/>
              </w:rPr>
              <w:br w:type="textWrapping"/>
            </w:r>
            <w:r>
              <w:rPr>
                <w:rFonts w:hint="eastAsia" w:ascii="微软雅黑" w:hAnsi="微软雅黑" w:eastAsia="微软雅黑" w:cs="微软雅黑"/>
                <w:b/>
                <w:color w:val="000000"/>
                <w:sz w:val="32"/>
              </w:rPr>
              <w:t>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60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理财产品管理人：兴银理财有限责任公司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理财产品托管人：兴业银行股份有限公司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5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7"/>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color w:val="000000"/>
                <w:sz w:val="24"/>
              </w:rPr>
              <w:t>报告送出日期：2025年7月21日</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720" w:hRule="exac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1/</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0" w:hRule="atLeast"/>
        </w:trPr>
        <w:tc>
          <w:p>
            <w:pPr>
              <w:pStyle w:val="4"/>
              <w:pageBreakBefore/>
              <w:rPr>
                <w:rFonts w:hint="eastAsia" w:ascii="微软雅黑" w:hAnsi="微软雅黑" w:eastAsia="微软雅黑" w:cs="微软雅黑"/>
              </w:rPr>
            </w:pPr>
            <w:bookmarkStart w:id="1" w:name="JR_PAGE_ANCHOR_0_2"/>
            <w:bookmarkEnd w:id="1"/>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兴银理财稳利丰收封闭式123号固收类理财产品2025年第二季度报告</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8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Mar>
              <w:top w:w="0" w:type="dxa"/>
              <w:left w:w="0" w:type="dxa"/>
              <w:bottom w:w="0" w:type="dxa"/>
              <w:right w:w="0" w:type="dxa"/>
            </w:tcMar>
            <w:vAlign w:val="top"/>
          </w:tcPr>
          <w:p>
            <w:pPr>
              <w:jc w:val="center"/>
              <w:rPr>
                <w:rFonts w:hint="eastAsia" w:ascii="微软雅黑" w:hAnsi="微软雅黑" w:eastAsia="微软雅黑" w:cs="微软雅黑"/>
              </w:rPr>
            </w:pPr>
            <w:r>
              <w:rPr>
                <w:rFonts w:hint="eastAsia" w:ascii="微软雅黑" w:hAnsi="微软雅黑" w:eastAsia="微软雅黑" w:cs="微软雅黑"/>
                <w:b/>
                <w:color w:val="000000"/>
                <w:sz w:val="30"/>
              </w:rPr>
              <w:t>目  录</w:t>
            </w: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4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84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spacing w:before="0" w:after="0" w:line="336"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t>§ 一. 重要提示</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二. 产品基本信息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三. 产品收益表现</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四. 产品投资经理简介</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五. 报告期内产品投资策略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六. 投资组合情况</w:t>
            </w:r>
            <w:r>
              <w:rPr>
                <w:rFonts w:hint="eastAsia" w:ascii="微软雅黑" w:hAnsi="微软雅黑" w:eastAsia="微软雅黑" w:cs="微软雅黑"/>
                <w:color w:val="000000"/>
                <w:sz w:val="21"/>
              </w:rPr>
              <w:br w:type="textWrapping"/>
            </w:r>
            <w:bookmarkStart w:id="7" w:name="_GoBack"/>
            <w:r>
              <w:rPr>
                <w:rFonts w:hint="eastAsia" w:ascii="微软雅黑" w:hAnsi="微软雅黑" w:eastAsia="微软雅黑" w:cs="微软雅黑"/>
                <w:color w:val="000000"/>
                <w:sz w:val="21"/>
              </w:rPr>
              <w:t xml:space="preserve">    </w:t>
            </w:r>
            <w:bookmarkEnd w:id="7"/>
            <w:r>
              <w:rPr>
                <w:rFonts w:hint="eastAsia" w:ascii="微软雅黑" w:hAnsi="微软雅黑" w:eastAsia="微软雅黑" w:cs="微软雅黑"/>
                <w:color w:val="000000"/>
                <w:sz w:val="21"/>
              </w:rPr>
              <w:t xml:space="preserve"> 1. 报告期末资产组合情况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报告期末杠杆融资情况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投资组合的流动性风险分析</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4. 报告期末资产持仓前十基本信息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5. 报告期末持有非标准化债权类资产情况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6. 报告期间关联交易情况</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7. 投资账户信息</w:t>
            </w: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6080" w:hRule="exac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4"/>
          <w:wAfter w:w="40" w:type="dxa"/>
          <w:trHeight w:val="400" w:hRule="atLeast"/>
        </w:trPr>
        <w:tc>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2/</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2" w:name="JR_PAGE_ANCHOR_0_3"/>
            <w:bookmarkEnd w:id="2"/>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一. 重要提示</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3080" w:hRule="atLeast"/>
        </w:trPr>
        <w:tc>
          <w:p>
            <w:pPr>
              <w:pStyle w:val="4"/>
              <w:rPr>
                <w:rFonts w:hint="eastAsia" w:ascii="微软雅黑" w:hAnsi="微软雅黑" w:eastAsia="微软雅黑" w:cs="微软雅黑"/>
              </w:rPr>
            </w:pPr>
          </w:p>
        </w:tc>
        <w:tc>
          <w:tcPr>
            <w:gridSpan w:val="14"/>
            <w:tcBorders>
              <w:top w:val="dotted" w:color="000000" w:sz="8" w:space="0"/>
              <w:left w:val="dotted" w:color="000000" w:sz="8" w:space="0"/>
              <w:bottom w:val="dotted" w:color="000000" w:sz="8" w:space="0"/>
              <w:right w:val="dotted" w:color="000000" w:sz="8" w:space="0"/>
            </w:tcBorders>
            <w:tcMar>
              <w:top w:w="0" w:type="dxa"/>
              <w:left w:w="0" w:type="dxa"/>
              <w:bottom w:w="0" w:type="dxa"/>
              <w:right w:w="0" w:type="dxa"/>
            </w:tcMar>
            <w:vAlign w:val="top"/>
          </w:tcPr>
          <w:p>
            <w:pPr>
              <w:spacing w:before="0" w:after="0" w:line="360" w:lineRule="auto"/>
              <w:jc w:val="left"/>
              <w:rPr>
                <w:rFonts w:hint="eastAsia" w:ascii="微软雅黑" w:hAnsi="微软雅黑" w:eastAsia="微软雅黑" w:cs="微软雅黑"/>
              </w:rPr>
            </w:pP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1. 温馨提醒：理财非存款，产品有风险，投资需谨慎！</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2. 理财信息可供参考，详情请咨询理财经理，或在“中国理财网（www.chinawealth.com.cn）”查询该产品相关信息。</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 3. 兴银理财有限责任公司保留对所有文字说明的最终解释权。</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二. 产品基本情况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产品名称</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兴银理财稳利丰收封闭式123号固收类理财产品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9C311230</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全国银行业理财信息登记系统登记编码</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Z7002024000395</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产品运作方式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封闭式</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产品募集方式</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公募</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投资类型</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固定收益类</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报告期末产品份额总额</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69,419,425份</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投资币种</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人民币</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风险等级</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jc w:val="left"/>
              <w:rPr>
                <w:rFonts w:hint="eastAsia" w:ascii="微软雅黑" w:hAnsi="微软雅黑" w:eastAsia="微软雅黑" w:cs="微软雅黑"/>
              </w:rPr>
            </w:pPr>
            <w:r>
              <w:rPr>
                <w:rFonts w:hint="eastAsia" w:ascii="微软雅黑" w:hAnsi="微软雅黑" w:eastAsia="微软雅黑" w:cs="微软雅黑"/>
                <w:color w:val="000000"/>
                <w:sz w:val="21"/>
              </w:rPr>
              <w:t>R2</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产品管理人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ind w:firstLine="200"/>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00" w:hRule="atLeast"/>
        </w:trPr>
        <w:tc>
          <w:p>
            <w:pPr>
              <w:pStyle w:val="4"/>
              <w:rPr>
                <w:rFonts w:hint="eastAsia" w:ascii="微软雅黑" w:hAnsi="微软雅黑" w:eastAsia="微软雅黑" w:cs="微软雅黑"/>
              </w:rPr>
            </w:pP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color w:val="000000"/>
                <w:sz w:val="21"/>
              </w:rPr>
              <w:t>产品托管人</w:t>
            </w:r>
          </w:p>
        </w:tc>
        <w:tc>
          <w:tcPr>
            <w:gridSpan w:val="7"/>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spacing w:before="0" w:after="0" w:line="240" w:lineRule="auto"/>
              <w:ind w:firstLine="200"/>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8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gridCol w:w="3600"/>
              <w:gridCol w:w="4100"/>
            </w:tblGrid>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2980"/>
                    <w:gridCol w:w="2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下属子份额的销售名称</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80" w:hRule="atLeast"/>
                    </w:trPr>
                    <w:tc>
                      <w:tcPr>
                        <w:tcMar>
                          <w:top w:w="0" w:type="dxa"/>
                          <w:left w:w="0" w:type="dxa"/>
                          <w:bottom w:w="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下属子份额的销售代码</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80" w:hRule="atLeast"/>
                    </w:trPr>
                    <w:tc>
                      <w:tcPr>
                        <w:tcMar>
                          <w:top w:w="0" w:type="dxa"/>
                          <w:left w:w="0" w:type="dxa"/>
                          <w:bottom w:w="0" w:type="dxa"/>
                          <w:right w:w="2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报告期末下属子份额的产品份额总数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稳利丰收封闭式123号A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9C31123A</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64,869,369.00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0"/>
                          <w:jc w:val="center"/>
                          <w:rPr>
                            <w:rFonts w:hint="eastAsia" w:ascii="微软雅黑" w:hAnsi="微软雅黑" w:eastAsia="微软雅黑" w:cs="微软雅黑"/>
                          </w:rPr>
                        </w:pPr>
                        <w:r>
                          <w:rPr>
                            <w:rFonts w:hint="eastAsia" w:ascii="微软雅黑" w:hAnsi="微软雅黑" w:eastAsia="微软雅黑" w:cs="微软雅黑"/>
                            <w:color w:val="000000"/>
                            <w:sz w:val="21"/>
                          </w:rPr>
                          <w:t>稳利丰收封闭式123号B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right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9C31123B</w:t>
                        </w:r>
                      </w:p>
                    </w:tc>
                  </w:tr>
                </w:tbl>
                <w:p>
                  <w:pPr>
                    <w:pStyle w:val="4"/>
                    <w:rPr>
                      <w:rFonts w:hint="eastAsia" w:ascii="微软雅黑" w:hAnsi="微软雅黑" w:eastAsia="微软雅黑" w:cs="微软雅黑"/>
                    </w:rPr>
                  </w:pPr>
                </w:p>
              </w:tc>
              <w:tc>
                <w:tcPr>
                  <w:tcBorders>
                    <w:top w:val="single" w:color="000000" w:sz="2" w:space="0"/>
                    <w:left w:val="single" w:color="000000" w:sz="2" w:space="0"/>
                    <w:bottom w:val="single" w:color="000000" w:sz="2" w:space="0"/>
                  </w:tcBorders>
                  <w:shd w:val="clear" w:color="auto" w:fill="FFFFFF"/>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4100"/>
                  </w:tblGrid>
                  <w:tr>
                    <w:tblPrEx>
                      <w:tblCellMar>
                        <w:top w:w="0" w:type="dxa"/>
                        <w:left w:w="10" w:type="dxa"/>
                        <w:bottom w:w="0" w:type="dxa"/>
                        <w:right w:w="10" w:type="dxa"/>
                      </w:tblCellMar>
                    </w:tblPrEx>
                    <w:trPr>
                      <w:trHeight w:val="560" w:hRule="atLeast"/>
                    </w:trPr>
                    <w:tc>
                      <w:tcPr>
                        <w:tcMar>
                          <w:top w:w="0" w:type="dxa"/>
                          <w:left w:w="0" w:type="dxa"/>
                          <w:bottom w:w="20" w:type="dxa"/>
                          <w:right w:w="0" w:type="dxa"/>
                        </w:tcMar>
                        <w:vAlign w:val="center"/>
                      </w:tcPr>
                      <w:p>
                        <w:pPr>
                          <w:ind w:firstLine="200"/>
                          <w:jc w:val="center"/>
                          <w:rPr>
                            <w:rFonts w:hint="eastAsia" w:ascii="微软雅黑" w:hAnsi="微软雅黑" w:eastAsia="微软雅黑" w:cs="微软雅黑"/>
                          </w:rPr>
                        </w:pPr>
                        <w:r>
                          <w:rPr>
                            <w:rFonts w:hint="eastAsia" w:ascii="微软雅黑" w:hAnsi="微软雅黑" w:eastAsia="微软雅黑" w:cs="微软雅黑"/>
                            <w:color w:val="000000"/>
                            <w:sz w:val="21"/>
                          </w:rPr>
                          <w:t>4,550,056.00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16"/>
              </w:rPr>
              <w:t>注:本产品的业绩比较基准或业绩报酬计提基准等类似表述不是预期收益率，不代表产品的未来表现和实际收益，不构成对产品收益的承诺，仅供投资者进行投资决定时参考。</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57"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3/</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3" w:name="JR_PAGE_ANCHOR_0_4"/>
            <w:bookmarkEnd w:id="3"/>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三. 产品收益表现</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报告期末，产品过往业绩如下：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gridCol w:w="2100"/>
              <w:gridCol w:w="2200"/>
              <w:gridCol w:w="2200"/>
              <w:gridCol w:w="22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产品销售代码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近1月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近3月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近6月</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成立至今</w:t>
                        </w:r>
                        <w:r>
                          <w:rPr>
                            <w:rFonts w:hint="eastAsia" w:ascii="微软雅黑" w:hAnsi="微软雅黑" w:eastAsia="微软雅黑" w:cs="微软雅黑"/>
                            <w:b/>
                            <w:color w:val="000000"/>
                            <w:sz w:val="21"/>
                          </w:rPr>
                          <w:br w:type="textWrapping"/>
                        </w:r>
                        <w:r>
                          <w:rPr>
                            <w:rFonts w:hint="eastAsia" w:ascii="微软雅黑" w:hAnsi="微软雅黑" w:eastAsia="微软雅黑" w:cs="微软雅黑"/>
                            <w:b/>
                            <w:color w:val="000000"/>
                            <w:sz w:val="21"/>
                          </w:rPr>
                          <w:t>年化收益率(%)</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9C31123A</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4.50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3.68</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9C31123B</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4.09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2.46</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3.79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spacing w:before="0" w:after="0" w:line="320" w:lineRule="exact"/>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21"/>
              </w:rPr>
              <w:t>业绩比较基准（9C31123A）：2.26%--3.56%</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业绩比较基准（9C31123B）：2.36%--3.66%</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82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pPr>
              <w:ind w:left="40" w:right="40"/>
              <w:jc w:val="left"/>
              <w:rPr>
                <w:rFonts w:hint="eastAsia" w:ascii="微软雅黑" w:hAnsi="微软雅黑" w:eastAsia="微软雅黑" w:cs="微软雅黑"/>
              </w:rPr>
            </w:pPr>
            <w:r>
              <w:rPr>
                <w:rFonts w:hint="eastAsia" w:ascii="微软雅黑" w:hAnsi="微软雅黑" w:eastAsia="微软雅黑" w:cs="微软雅黑"/>
                <w:color w:val="000000"/>
                <w:sz w:val="18"/>
              </w:rPr>
              <w:t>提示：</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（1）产品展示的业绩比较基准为报告期末理财产品所在最新投资周期的业绩比较基准。</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（2）兴银理财稳利丰收封闭式123号固收类理财产品成立于2024年10月22日，数据截止至2025年06月30日。过往业绩是由兴银理财有限责任公司计算并确认后所提供的数据。</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3）近N月年化收益率（%）=（1+（当前复权单位净值/N月前复权单位净值-1）*100%）^（365/区间天数）-1。区间天数为产品前N月（或首个披露的有效净值日期，不含该日）至报告期末有效净值日期（含该日）累计运作天数。展示区间起始时间为近N月的有效净值日期，截止时间为本报告期期末。</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X年年化收益率（%）=（1+（X年最后一个有效复权单位净值/X-1年最后一个有效复权单位净值-1）*100%）^（365/区间天数）-1。区间天数为该完整会计年度的天数。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成立至今年化收益率（%）=（1+（当前市值/成立日市值-1）*100%）^（365/区间天数）-1。区间天数为产品成立日期（或首个披露净值日期，不含该日）至报告期末净值日期（含该日）累计运作天数。</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lang w:eastAsia="zh-CN"/>
              </w:rPr>
              <w:t xml:space="preserve">       </w:t>
            </w:r>
            <w:r>
              <w:rPr>
                <w:rFonts w:hint="eastAsia" w:ascii="微软雅黑" w:hAnsi="微软雅黑" w:eastAsia="微软雅黑" w:cs="微软雅黑"/>
                <w:color w:val="000000"/>
                <w:sz w:val="18"/>
              </w:rPr>
              <w:t>复权单位净值体现单位净值序列及累计净值序列的波动和分红等情况。</w:t>
            </w:r>
            <w:r>
              <w:rPr>
                <w:rFonts w:hint="eastAsia" w:ascii="微软雅黑" w:hAnsi="微软雅黑" w:eastAsia="微软雅黑" w:cs="微软雅黑"/>
                <w:color w:val="000000"/>
                <w:sz w:val="18"/>
              </w:rPr>
              <w:br w:type="textWrapping"/>
            </w:r>
            <w:r>
              <w:rPr>
                <w:rFonts w:hint="eastAsia" w:ascii="微软雅黑" w:hAnsi="微软雅黑" w:eastAsia="微软雅黑" w:cs="微软雅黑"/>
                <w:color w:val="000000"/>
                <w:sz w:val="18"/>
              </w:rPr>
              <w:t>（4）理财产品过往业绩不代表其未来表现，不等于理财产品实际收益，投资须谨慎。</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1"/>
              </w:rPr>
              <w:t>报告期末，产品净值表现具体如下：</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9C311230</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1.02523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71,171,019.49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gridCol w:w="2000"/>
              <w:gridCol w:w="2400"/>
              <w:gridCol w:w="2200"/>
              <w:gridCol w:w="23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销售代码</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估值日期</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产品份额净值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产品累计净值</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产品资产净值</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9C31123A</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66,503,158.22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7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9C31123B</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2025年6月30日</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4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1.02589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3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4,667,861.27</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四. 产品投资经理简介</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邓铮先生，英国赫尔大学金融管理硕士，拥有12年金融从业经验，现任兴银理财专户投资部高级投资经理。2019年加入兴业银行资产管理事业部，历任兴业银行资产管理事业部权益投资部投资经理、兴银理财股票与量化投资部投资经理。深耕大类资产配置，擅长各类资产的价值挖掘，具有丰富的固收+投资经验，投资风格稳健，目前管理各类持有期开放式产品和各期限专户固收产品，累计产品管理规模超过500亿。</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7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4/</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0" w:hRule="atLeast"/>
        </w:trPr>
        <w:tc>
          <w:p>
            <w:pPr>
              <w:pStyle w:val="4"/>
              <w:pageBreakBefore/>
              <w:rPr>
                <w:rFonts w:hint="eastAsia" w:ascii="微软雅黑" w:hAnsi="微软雅黑" w:eastAsia="微软雅黑" w:cs="微软雅黑"/>
              </w:rPr>
            </w:pPr>
            <w:bookmarkStart w:id="4" w:name="JR_PAGE_ANCHOR_0_5"/>
            <w:bookmarkEnd w:id="4"/>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兴银理财稳利丰收封闭式123号固收类理财产品2025年第二季度报告</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五. 报告期内产品的投资策略和运作分析</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0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一、市场回顾</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一季度以来债市表现强劲，收益率整体下行。10年国债收益率下行15BP至1.65%附近，30年国债收益率下行20bp至1.85%附近。1年国股NCD下行约25BP至1.63%附近，2-3年AA+信用债下行约25BP至2.0%附近。4-5年国股二级收益率下行20BP至1..88%，国股永续下行20BP至1.95%附近。</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2025年二季度，债券市场整体呈现收益率中枢下行、波动加剧的特征。主要影响因素包括：1、货币政策宽松预期增强：央行在4月超预期下调MLF利率25BP，并采取多重价位MLF招标，降低银行负债成本，推动资金利率中枢下行（DR007均值1.6%附近）。2、财政政策发力：政府债发行节奏前置，国债和地方债供给放量，但市场流动性仍保持平稳，未对债市形成明显冲击。3、海外因素扰动：美国关税政策调整引发避险情绪，外资加速流入中国债市，10年期国债收益率一度下行至1.6%以下。4、信用债表现强劲：中短端信用债利差大幅压缩，城投债、产业债需求旺盛，资产荒格局延续。</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二、产品运作</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投资策略上，进入二季度以来，产品逐渐提升杠杆和久期，择机增加收益较高的信用债，提升组合静态收益，维持产品稳健运行，建仓信用利差保护较厚的优质主体，获取收益率下行过程中所带来的资本利得，增厚组合收益。</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三、2025年三季度展望与投资策略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1、2025年三季度展望</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二季度的经济数据喜忧参半，经济数据暗示基本面底部盘整，虽然持续有一些积极的信号显现，但也有很多持续低迷的行业。地产低位徘徊、信贷需求不振以及通缩状态指向经济需求不足。但同时也有一些积极的信号，例如社融略超预期，失业率有所改善，消费的阶段性企稳，尤其是一些年轻人新兴消费。整体来看，经济状况依然处于一个观察期，有时会出现一些积极信号，但总体是一个低位徘徊的状态，也意味着债市目前没有特别大的风险。</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rPr>
              <w:t xml:space="preserve">货币政策方面，从央行的角度来看，整体的流动性依然充裕，无论是续作3个月还是6个月的买断式回购，还有近期的MLF及最近的OMO持续放量，都暗示流动性仍将维持合理充裕一段时间。央行的操作一是支持经济增长，二是维护资产价格，基于这两个目的，经济虽然有积极的现象，但仍然需要政策支持的；从资产价格来看，房地产还在继续走弱，股市企稳，但是也没过热。因此从货币政策的角度，在持续宽松的背景下，债市可以继续延续逢高买入的操作思路。 </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2、投资策略</w:t>
            </w:r>
            <w:r>
              <w:rPr>
                <w:rFonts w:hint="eastAsia" w:ascii="微软雅黑" w:hAnsi="微软雅黑" w:eastAsia="微软雅黑" w:cs="微软雅黑"/>
                <w:color w:val="000000"/>
                <w:sz w:val="21"/>
              </w:rPr>
              <w:br w:type="textWrapping"/>
            </w: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利率方面，随着资金逐步好转，国债净买入或重启，1-2年期国债波段交易机会值得关注，此外5年期品种交易性价比较优；配置上，10年期、30年期国债在1.7%、1.9%以上具备比较好的配置价值，可以择机增配。信用方面，与年初相比，中短债负carry转正，套息利差较厚，票息与杠杆价值均具有较好性价比，可积极配置。负债稳定产品，关注长久期信用债、城投适度下沉策略，并增加长久期二永波段交易。</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58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4"/>
              </w:rPr>
              <w:t>§ 六. 投资组合情况</w:t>
            </w: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1.报告期末产品资产组合情况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14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gridAfter w:val="2"/>
          <w:wAfter w:w="20" w:type="dxa"/>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5"/>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5/</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5" w:name="JR_PAGE_ANCHOR_0_6"/>
            <w:bookmarkEnd w:id="5"/>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兴银理财稳利丰收封闭式123号固收类理财产品2025年第二季度报告</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20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5"/>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600"/>
              <w:gridCol w:w="3600"/>
              <w:gridCol w:w="3500"/>
            </w:tblGrid>
            <w:tr>
              <w:tblPrEx>
                <w:tblCellMar>
                  <w:top w:w="0" w:type="dxa"/>
                  <w:left w:w="10" w:type="dxa"/>
                  <w:bottom w:w="0" w:type="dxa"/>
                  <w:right w:w="10" w:type="dxa"/>
                </w:tblCellMar>
              </w:tblPrEx>
              <w:trPr>
                <w:trHeight w:val="600" w:hRule="atLeas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直接投资占产品总资产的比例（%）</w:t>
                        </w:r>
                      </w:p>
                    </w:tc>
                  </w:tr>
                </w:tbl>
                <w:p>
                  <w:pPr>
                    <w:pStyle w:val="4"/>
                    <w:rPr>
                      <w:rFonts w:hint="eastAsia" w:ascii="微软雅黑" w:hAnsi="微软雅黑" w:eastAsia="微软雅黑" w:cs="微软雅黑"/>
                    </w:rPr>
                  </w:pPr>
                </w:p>
              </w:tc>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间接投资占产品总资产的比例（%）</w:t>
                  </w: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现金及银行存款</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0.41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公募基金</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拆放同业及债券买入返售</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0.96</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债券</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94.44</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委外投资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99.59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0.00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总计</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5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100.00</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2.报告期末杠杆融资情况</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0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报告期末本产品总资产未超过该产品净资产规模的200%，符合产品协议对本产品杠杆比例的要求。</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3.投资组合的流动性风险分析</w:t>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24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spacing w:before="0" w:after="0" w:line="320" w:lineRule="exact"/>
              <w:ind w:firstLine="0"/>
              <w:jc w:val="left"/>
              <w:rPr>
                <w:rFonts w:hint="eastAsia" w:ascii="微软雅黑" w:hAnsi="微软雅黑" w:eastAsia="微软雅黑" w:cs="微软雅黑"/>
              </w:rPr>
            </w:pPr>
            <w:r>
              <w:rPr>
                <w:rFonts w:hint="eastAsia" w:ascii="微软雅黑" w:hAnsi="微软雅黑" w:eastAsia="微软雅黑" w:cs="微软雅黑"/>
                <w:color w:val="000000"/>
                <w:sz w:val="21"/>
                <w:lang w:eastAsia="zh-CN"/>
              </w:rPr>
              <w:t xml:space="preserve">       </w:t>
            </w:r>
            <w:r>
              <w:rPr>
                <w:rFonts w:hint="eastAsia" w:ascii="微软雅黑" w:hAnsi="微软雅黑" w:eastAsia="微软雅黑" w:cs="微软雅黑"/>
                <w:color w:val="000000"/>
                <w:sz w:val="21"/>
              </w:rPr>
              <w:t>流动性风险是指产品在履行与金融负债有关的义务时遇到资金短缺的风险。本产品的流动性风险主要来自于若投资品种所处的交易市场不活跃，可能带来资产变现困难或产品持仓资产在市场出现剧烈波动的情况下难以以合理价格变现的风险。 为防范无法支付到期赎回款而产生的流动性风险，本理财产品管理人将合理安排所投资产期限，产品到期前完成所投资组合中相关资产变现，尽可能降低产品流动性风险，有效保障理财持有人利益。 报告期内，本理财产品管理人严格遵守相关法律法规以及产品销售协议，对理财产品组合资产的流动性风险进行管理，报告期内未发生流动性风险。</w:t>
            </w:r>
            <w:r>
              <w:rPr>
                <w:rFonts w:hint="eastAsia" w:ascii="微软雅黑" w:hAnsi="微软雅黑" w:eastAsia="微软雅黑" w:cs="微软雅黑"/>
                <w:color w:val="000000"/>
                <w:sz w:val="21"/>
              </w:rPr>
              <w:br w:type="textWrapping"/>
            </w: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4.报告期末资产持仓前十基本信息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84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64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资产规模（元）</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4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占产品资产净值的比例（%）</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23温州银行永续债02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3,696,263.73</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5.19</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22民泰商行永续债02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3,094,433.10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4.35</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21恒丰银行永续债</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3,075,629.64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4</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22厦门农商二级01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2,420,399.08</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3.40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24即墨旅投PPN001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2,366,317.24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3.32</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6</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23凯盛科技MTN002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2,347,560.35</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3.30</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7</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24青科控股PPN001</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2,342,453.90</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3.29</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 w:hRule="exac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6/</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0" w:hRule="atLeast"/>
        </w:trPr>
        <w:tc>
          <w:p>
            <w:pPr>
              <w:pStyle w:val="4"/>
              <w:pageBreakBefore/>
              <w:rPr>
                <w:rFonts w:hint="eastAsia" w:ascii="微软雅黑" w:hAnsi="微软雅黑" w:eastAsia="微软雅黑" w:cs="微软雅黑"/>
              </w:rPr>
            </w:pPr>
            <w:bookmarkStart w:id="6" w:name="JR_PAGE_ANCHOR_0_7"/>
            <w:bookmarkEnd w:id="6"/>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bottom"/>
          </w:tcPr>
          <w:p>
            <w:pPr>
              <w:spacing w:before="0" w:after="0" w:line="192" w:lineRule="auto"/>
              <w:jc w:val="left"/>
              <w:rPr>
                <w:rFonts w:hint="eastAsia" w:ascii="微软雅黑" w:hAnsi="微软雅黑" w:eastAsia="微软雅黑" w:cs="微软雅黑"/>
              </w:rPr>
            </w:pPr>
            <w:r>
              <w:rPr>
                <w:rFonts w:hint="eastAsia" w:ascii="微软雅黑" w:hAnsi="微软雅黑" w:eastAsia="微软雅黑" w:cs="微软雅黑"/>
                <w:color w:val="808080"/>
                <w:sz w:val="18"/>
              </w:rPr>
              <w:t>兴银理财稳利丰收封闭式123号固收类理财产品2025年第二季度报告</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 w:hRule="exact"/>
        </w:trPr>
        <w:tc>
          <w:p>
            <w:pPr>
              <w:pStyle w:val="4"/>
              <w:rPr>
                <w:rFonts w:hint="eastAsia" w:ascii="微软雅黑" w:hAnsi="微软雅黑" w:eastAsia="微软雅黑" w:cs="微软雅黑"/>
              </w:rPr>
            </w:pPr>
          </w:p>
        </w:tc>
        <w:tc>
          <w:tcPr>
            <w:gridSpan w:val="14"/>
            <w:tcBorders>
              <w:top w:val="single" w:color="000000" w:sz="8" w:space="0"/>
            </w:tcBorders>
            <w:shd w:val="clear" w:color="auto" w:fill="FFFFFF"/>
            <w:tcMar>
              <w:top w:w="0" w:type="dxa"/>
              <w:left w:w="0" w:type="dxa"/>
              <w:bottom w:w="0" w:type="dxa"/>
              <w:right w:w="0" w:type="dxa"/>
            </w:tcMar>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8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Borders>
              <w:bottom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4000"/>
              <w:gridCol w:w="2600"/>
              <w:gridCol w:w="3100"/>
            </w:tblGrid>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8</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25上合控股PPN002</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2,326,346.19</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9</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24鄂联投MTN005</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2,326,056.44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3.27</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8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2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42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10</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0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土地01优</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6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2,304,801.51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40" w:hRule="atLeast"/>
                    </w:trPr>
                    <w:tc>
                      <w:tcPr>
                        <w:tcMar>
                          <w:top w:w="0" w:type="dxa"/>
                          <w:left w:w="0" w:type="dxa"/>
                          <w:bottom w:w="16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3.24</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5.报告期末持有非标准化债权类资产情况</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3600"/>
              <w:gridCol w:w="2200"/>
              <w:gridCol w:w="1200"/>
              <w:gridCol w:w="1600"/>
              <w:gridCol w:w="1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项目名称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融资客户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剩余融资期限（天）</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6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交易结构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4B4B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风险状况</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atLeas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2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rPr>
                <w:rFonts w:hint="eastAsia" w:ascii="微软雅黑" w:hAnsi="微软雅黑" w:eastAsia="微软雅黑" w:cs="微软雅黑"/>
              </w:rPr>
            </w:pPr>
            <w:r>
              <w:rPr>
                <w:rFonts w:hint="eastAsia" w:ascii="微软雅黑" w:hAnsi="微软雅黑" w:eastAsia="微软雅黑" w:cs="微软雅黑"/>
                <w:b/>
                <w:color w:val="000000"/>
                <w:sz w:val="21"/>
              </w:rPr>
              <w:t>6.报告期间关联交易情况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6.1 理财产品在报告期末投资关联方发行、承销的证券的情况</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gridCol w:w="2200"/>
              <w:gridCol w:w="38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7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承销商/发行人</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6.2 理财产品在报告期内其他关联交易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6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交易标的</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交易金额（万元）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60" w:hRule="exact"/>
              </w:trPr>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46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兴银理财稳利丰收封闭式123号固收类理财产品</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0.5344</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托管费</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400" w:hRule="atLeast"/>
                    </w:trPr>
                    <w:tc>
                      <w:tcPr>
                        <w:tcMar>
                          <w:top w:w="0" w:type="dxa"/>
                          <w:left w:w="0" w:type="dxa"/>
                          <w:bottom w:w="200" w:type="dxa"/>
                          <w:right w:w="0" w:type="dxa"/>
                        </w:tcMar>
                        <w:vAlign w:val="bottom"/>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兴业银行股份有限公司</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0"/>
            <w:tcMar>
              <w:top w:w="0" w:type="dxa"/>
              <w:left w:w="0" w:type="dxa"/>
              <w:bottom w:w="0" w:type="dxa"/>
              <w:right w:w="0" w:type="dxa"/>
            </w:tcMar>
            <w:vAlign w:val="top"/>
          </w:tcPr>
          <w:p>
            <w:pPr>
              <w:rPr>
                <w:rFonts w:hint="eastAsia" w:ascii="微软雅黑" w:hAnsi="微软雅黑" w:eastAsia="微软雅黑" w:cs="微软雅黑"/>
              </w:rPr>
            </w:pPr>
            <w:r>
              <w:rPr>
                <w:rFonts w:hint="eastAsia" w:ascii="微软雅黑" w:hAnsi="微软雅黑" w:eastAsia="微软雅黑" w:cs="微软雅黑"/>
                <w:color w:val="000000"/>
                <w:sz w:val="20"/>
              </w:rPr>
              <w:t>6.3 理财产品在报告期内中的重大关联交易</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gridCol w:w="2000"/>
              <w:gridCol w:w="1800"/>
              <w:gridCol w:w="3100"/>
            </w:tblGrid>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资产名称</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资产面额（元）</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8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交易类型</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FBFB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1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关联方名称</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p>
            <w:pPr>
              <w:pStyle w:val="4"/>
              <w:rPr>
                <w:rFonts w:hint="eastAsia" w:ascii="微软雅黑" w:hAnsi="微软雅黑" w:eastAsia="微软雅黑" w:cs="微软雅黑"/>
              </w:rPr>
            </w:pPr>
          </w:p>
        </w:tc>
        <w:tc>
          <w:tcPr>
            <w:gridSpan w:val="14"/>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700"/>
            </w:tblGrid>
            <w:tr>
              <w:tblPrEx>
                <w:tblCellMar>
                  <w:top w:w="0" w:type="dxa"/>
                  <w:left w:w="10" w:type="dxa"/>
                  <w:bottom w:w="0" w:type="dxa"/>
                  <w:right w:w="10" w:type="dxa"/>
                </w:tblCellMar>
              </w:tblPrEx>
              <w:trPr>
                <w:trHeight w:val="600" w:hRule="exact"/>
              </w:trPr>
              <w:tc>
                <w:tcPr>
                  <w:tcBorders>
                    <w:left w:val="single" w:color="000000" w:sz="4" w:space="0"/>
                    <w:bottom w:val="single" w:color="000000" w:sz="4" w:space="0"/>
                    <w:right w:val="single" w:color="000000" w:sz="4" w:space="0"/>
                  </w:tcBorders>
                  <w:shd w:val="clear" w:color="auto" w:fill="FFFFFF"/>
                  <w:tcMar>
                    <w:top w:w="0" w:type="dxa"/>
                    <w:left w:w="2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680"/>
                    <w:gridCol w:w="2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无</w:t>
                        </w:r>
                      </w:p>
                    </w:tc>
                    <w:tc>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tcMar>
              <w:top w:w="0" w:type="dxa"/>
              <w:left w:w="0" w:type="dxa"/>
              <w:bottom w:w="0" w:type="dxa"/>
              <w:right w:w="0" w:type="dxa"/>
            </w:tcMar>
            <w:vAlign w:val="center"/>
          </w:tcPr>
          <w:p>
            <w:pPr>
              <w:jc w:val="left"/>
              <w:rPr>
                <w:rFonts w:hint="eastAsia" w:ascii="微软雅黑" w:hAnsi="微软雅黑" w:eastAsia="微软雅黑" w:cs="微软雅黑"/>
              </w:rPr>
            </w:pPr>
            <w:r>
              <w:rPr>
                <w:rFonts w:hint="eastAsia" w:ascii="微软雅黑" w:hAnsi="微软雅黑" w:eastAsia="微软雅黑" w:cs="微软雅黑"/>
                <w:b/>
                <w:color w:val="000000"/>
                <w:sz w:val="21"/>
              </w:rPr>
              <w:t>7.投资账户信息</w:t>
            </w: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120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16"/>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gridCol w:w="2200"/>
              <w:gridCol w:w="3000"/>
              <w:gridCol w:w="4500"/>
            </w:tblGrid>
            <w:tr>
              <w:tblPrEx>
                <w:tblCellMar>
                  <w:top w:w="0" w:type="dxa"/>
                  <w:left w:w="10" w:type="dxa"/>
                  <w:bottom w:w="0" w:type="dxa"/>
                  <w:right w:w="10" w:type="dxa"/>
                </w:tblCellMar>
              </w:tblPrEx>
              <w:trPr>
                <w:trHeight w:val="600" w:hRule="exact"/>
              </w:trPr>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序号</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账户类型</w:t>
                        </w:r>
                      </w:p>
                    </w:tc>
                  </w:tr>
                </w:tbl>
                <w:p>
                  <w:pPr>
                    <w:pStyle w:val="4"/>
                    <w:rPr>
                      <w:rFonts w:hint="eastAsia" w:ascii="微软雅黑" w:hAnsi="微软雅黑" w:eastAsia="微软雅黑" w:cs="微软雅黑"/>
                    </w:rPr>
                  </w:pPr>
                </w:p>
              </w:tc>
              <w:tc>
                <w:tcPr>
                  <w:tcBorders>
                    <w:top w:val="single" w:color="000000" w:sz="8" w:space="0"/>
                    <w:left w:val="single" w:color="000000" w:sz="8" w:space="0"/>
                    <w:bottom w:val="single" w:color="000000" w:sz="8" w:space="0"/>
                    <w:right w:val="single" w:color="000000" w:sz="8"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账户编号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B3B4B5"/>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shd w:val="clear" w:color="auto" w:fill="BFBFBF"/>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b/>
                            <w:color w:val="000000"/>
                            <w:sz w:val="21"/>
                          </w:rPr>
                          <w:t>账户名称</w:t>
                        </w:r>
                      </w:p>
                    </w:tc>
                  </w:tr>
                </w:tbl>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600" w:hRule="exact"/>
              </w:trPr>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1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22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托管账户</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30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051010100102019801</w:t>
                        </w:r>
                      </w:p>
                    </w:tc>
                  </w:tr>
                </w:tbl>
                <w:p>
                  <w:pPr>
                    <w:pStyle w:val="4"/>
                    <w:rPr>
                      <w:rFonts w:hint="eastAsia" w:ascii="微软雅黑" w:hAnsi="微软雅黑" w:eastAsia="微软雅黑" w:cs="微软雅黑"/>
                    </w:rPr>
                  </w:pPr>
                </w:p>
              </w:tc>
              <w:tc>
                <w:tcPr>
                  <w:tcBorders>
                    <w:top w:val="single" w:color="000000" w:sz="4" w:space="0"/>
                    <w:left w:val="single" w:color="000000" w:sz="4" w:space="0"/>
                    <w:bottom w:val="single" w:color="000000" w:sz="4" w:space="0"/>
                    <w:right w:val="single" w:color="000000" w:sz="4" w:space="0"/>
                  </w:tcBorders>
                  <w:shd w:val="clear" w:color="auto" w:fill="FFFFFF"/>
                  <w:tcMar>
                    <w:top w:w="0" w:type="dxa"/>
                    <w:left w:w="0" w:type="dxa"/>
                    <w:bottom w:w="0" w:type="dxa"/>
                    <w:right w:w="0" w:type="dxa"/>
                  </w:tcMar>
                </w:tcPr>
                <w:tbl>
                  <w:tblPr>
                    <w:tblStyle w:val="2"/>
                    <w:tblW w:w="0" w:type="auto"/>
                    <w:tblInd w:w="0" w:type="dxa"/>
                    <w:tblLayout w:type="fixed"/>
                    <w:tblCellMar>
                      <w:top w:w="0" w:type="dxa"/>
                      <w:left w:w="10" w:type="dxa"/>
                      <w:bottom w:w="0" w:type="dxa"/>
                      <w:right w:w="10" w:type="dxa"/>
                    </w:tblCellMar>
                  </w:tblPr>
                  <w:tblGrid>
                    <w:gridCol w:w="4500"/>
                  </w:tblGrid>
                  <w:tr>
                    <w:tblPrEx>
                      <w:tblCellMar>
                        <w:top w:w="0" w:type="dxa"/>
                        <w:left w:w="10" w:type="dxa"/>
                        <w:bottom w:w="0" w:type="dxa"/>
                        <w:right w:w="10" w:type="dxa"/>
                      </w:tblCellMar>
                    </w:tblPrEx>
                    <w:trPr>
                      <w:trHeight w:val="600" w:hRule="atLeast"/>
                    </w:trPr>
                    <w:tc>
                      <w:tcPr>
                        <w:tcMar>
                          <w:top w:w="0" w:type="dxa"/>
                          <w:left w:w="0" w:type="dxa"/>
                          <w:bottom w:w="0" w:type="dxa"/>
                          <w:right w:w="0" w:type="dxa"/>
                        </w:tcMar>
                        <w:vAlign w:val="center"/>
                      </w:tcPr>
                      <w:p>
                        <w:pPr>
                          <w:jc w:val="center"/>
                          <w:rPr>
                            <w:rFonts w:hint="eastAsia" w:ascii="微软雅黑" w:hAnsi="微软雅黑" w:eastAsia="微软雅黑" w:cs="微软雅黑"/>
                          </w:rPr>
                        </w:pPr>
                        <w:r>
                          <w:rPr>
                            <w:rFonts w:hint="eastAsia" w:ascii="微软雅黑" w:hAnsi="微软雅黑" w:eastAsia="微软雅黑" w:cs="微软雅黑"/>
                            <w:color w:val="000000"/>
                            <w:sz w:val="21"/>
                          </w:rPr>
                          <w:t>兴银理财稳利丰收封闭式123号固收类理财产品</w:t>
                        </w:r>
                      </w:p>
                    </w:tc>
                  </w:tr>
                </w:tbl>
                <w:p>
                  <w:pPr>
                    <w:pStyle w:val="4"/>
                    <w:rPr>
                      <w:rFonts w:hint="eastAsia" w:ascii="微软雅黑" w:hAnsi="微软雅黑" w:eastAsia="微软雅黑" w:cs="微软雅黑"/>
                    </w:rPr>
                  </w:pPr>
                </w:p>
              </w:tc>
            </w:tr>
          </w:tbl>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960"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center"/>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兴银理财有限责任公司</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14"/>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21"/>
              </w:rPr>
              <w:t>2025年7月21日</w:t>
            </w: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555" w:hRule="exac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r>
        <w:tblPrEx>
          <w:tblCellMar>
            <w:top w:w="0" w:type="dxa"/>
            <w:left w:w="10" w:type="dxa"/>
            <w:bottom w:w="0" w:type="dxa"/>
            <w:right w:w="10" w:type="dxa"/>
          </w:tblCellMar>
        </w:tblPrEx>
        <w:trPr>
          <w:trHeight w:val="400" w:hRule="atLeast"/>
        </w:trPr>
        <w:tc>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2"/>
          </w:tcPr>
          <w:p>
            <w:pPr>
              <w:pStyle w:val="4"/>
              <w:rPr>
                <w:rFonts w:hint="eastAsia" w:ascii="微软雅黑" w:hAnsi="微软雅黑" w:eastAsia="微软雅黑" w:cs="微软雅黑"/>
              </w:rPr>
            </w:pPr>
          </w:p>
        </w:tc>
        <w:tc>
          <w:tcPr>
            <w:gridSpan w:val="3"/>
            <w:tcMar>
              <w:top w:w="0" w:type="dxa"/>
              <w:left w:w="0" w:type="dxa"/>
              <w:bottom w:w="0" w:type="dxa"/>
              <w:right w:w="0" w:type="dxa"/>
            </w:tcMar>
            <w:vAlign w:val="top"/>
          </w:tcPr>
          <w:p>
            <w:pPr>
              <w:jc w:val="righ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2"/>
            <w:tcMar>
              <w:top w:w="0" w:type="dxa"/>
              <w:left w:w="0" w:type="dxa"/>
              <w:bottom w:w="0" w:type="dxa"/>
              <w:right w:w="0" w:type="dxa"/>
            </w:tcMar>
            <w:vAlign w:val="top"/>
          </w:tcPr>
          <w:p>
            <w:pPr>
              <w:jc w:val="left"/>
              <w:rPr>
                <w:rFonts w:hint="eastAsia" w:ascii="微软雅黑" w:hAnsi="微软雅黑" w:eastAsia="微软雅黑" w:cs="微软雅黑"/>
              </w:rPr>
            </w:pPr>
            <w:r>
              <w:rPr>
                <w:rFonts w:hint="eastAsia" w:ascii="微软雅黑" w:hAnsi="微软雅黑" w:eastAsia="微软雅黑" w:cs="微软雅黑"/>
                <w:color w:val="000000"/>
                <w:sz w:val="18"/>
              </w:rPr>
              <w:t>7</w:t>
            </w:r>
          </w:p>
        </w:tc>
        <w:tc>
          <w:tcPr>
            <w:gridSpan w:val="3"/>
          </w:tcPr>
          <w:p>
            <w:pPr>
              <w:pStyle w:val="4"/>
              <w:rPr>
                <w:rFonts w:hint="eastAsia" w:ascii="微软雅黑" w:hAnsi="微软雅黑" w:eastAsia="微软雅黑" w:cs="微软雅黑"/>
              </w:rPr>
            </w:pPr>
          </w:p>
        </w:tc>
        <w:tc>
          <w:tcPr>
            <w:gridSpan w:val="4"/>
          </w:tcPr>
          <w:p>
            <w:pPr>
              <w:pStyle w:val="4"/>
              <w:rPr>
                <w:rFonts w:hint="eastAsia" w:ascii="微软雅黑" w:hAnsi="微软雅黑" w:eastAsia="微软雅黑" w:cs="微软雅黑"/>
              </w:rPr>
            </w:pPr>
          </w:p>
        </w:tc>
        <w:tc>
          <w:p>
            <w:pPr>
              <w:pStyle w:val="4"/>
              <w:rPr>
                <w:rFonts w:hint="eastAsia" w:ascii="微软雅黑" w:hAnsi="微软雅黑" w:eastAsia="微软雅黑" w:cs="微软雅黑"/>
              </w:rPr>
            </w:pPr>
          </w:p>
        </w:tc>
      </w:tr>
    </w:tbl>
    <w:p>
      <w:pPr>
        <w:rPr>
          <w:rFonts w:hint="eastAsia" w:ascii="微软雅黑" w:hAnsi="微软雅黑" w:eastAsia="微软雅黑" w:cs="微软雅黑"/>
        </w:rPr>
      </w:pPr>
    </w:p>
    <w:sectPr>
      <w:pgSz w:w="11900" w:h="16840"/>
      <w:pgMar w:top="600" w:right="560" w:bottom="240" w:left="600" w:header="0" w:footer="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documentProtection w:enforcement="0"/>
  <w:defaultTabStop w:val="800"/>
  <w:compat>
    <w:useFELayout/>
    <w:splitPgBreakAndParaMark/>
    <w:compatSetting w:name="compatibilityMode" w:uri="http://schemas.microsoft.com/office/word" w:val="12"/>
  </w:compat>
  <w:rsids>
    <w:rsidRoot w:val="00000000"/>
    <w:rsid w:val="1A2963C0"/>
    <w:rsid w:val="2FB3696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sz w:val="21"/>
      <w:szCs w:val="22"/>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EMPTY_CELL_STYLE"/>
    <w:qFormat/>
    <w:uiPriority w:val="0"/>
    <w:pPr>
      <w:spacing w:line="240" w:lineRule="auto"/>
    </w:pPr>
    <w:rPr>
      <w:rFonts w:ascii="SansSerif" w:hAnsi="SansSerif" w:eastAsia="SansSerif" w:cs="SansSerif"/>
      <w:color w:val="000000"/>
      <w:sz w:val="1"/>
      <w:szCs w:val="22"/>
    </w:rPr>
  </w:style>
  <w:style w:type="paragraph" w:customStyle="1" w:styleId="5">
    <w:name w:val="Table_TH"/>
    <w:qFormat/>
    <w:uiPriority w:val="0"/>
    <w:pPr>
      <w:spacing w:line="240" w:lineRule="auto"/>
    </w:pPr>
    <w:rPr>
      <w:rFonts w:ascii="SansSerif" w:hAnsi="SansSerif" w:eastAsia="SansSerif" w:cs="SansSerif"/>
      <w:color w:val="000000"/>
      <w:sz w:val="20"/>
      <w:szCs w:val="22"/>
    </w:rPr>
  </w:style>
  <w:style w:type="paragraph" w:customStyle="1" w:styleId="6">
    <w:name w:val="Table_CH"/>
    <w:qFormat/>
    <w:uiPriority w:val="0"/>
    <w:pPr>
      <w:spacing w:line="240" w:lineRule="auto"/>
    </w:pPr>
    <w:rPr>
      <w:rFonts w:ascii="SansSerif" w:hAnsi="SansSerif" w:eastAsia="SansSerif" w:cs="SansSerif"/>
      <w:color w:val="000000"/>
      <w:sz w:val="20"/>
      <w:szCs w:val="22"/>
    </w:rPr>
  </w:style>
  <w:style w:type="paragraph" w:customStyle="1" w:styleId="7">
    <w:name w:val="Table_TD"/>
    <w:qFormat/>
    <w:uiPriority w:val="0"/>
    <w:pPr>
      <w:spacing w:line="240" w:lineRule="auto"/>
    </w:pPr>
    <w:rPr>
      <w:rFonts w:ascii="SansSerif" w:hAnsi="SansSerif" w:eastAsia="SansSerif" w:cs="SansSerif"/>
      <w:color w:val="000000"/>
      <w:sz w:val="20"/>
      <w:szCs w:val="22"/>
    </w:rPr>
  </w:style>
  <w:style w:type="paragraph" w:customStyle="1" w:styleId="8">
    <w:name w:val="Table 1_TH"/>
    <w:qFormat/>
    <w:uiPriority w:val="0"/>
    <w:pPr>
      <w:spacing w:line="240" w:lineRule="auto"/>
    </w:pPr>
    <w:rPr>
      <w:rFonts w:ascii="SansSerif" w:hAnsi="SansSerif" w:eastAsia="SansSerif" w:cs="SansSerif"/>
      <w:color w:val="000000"/>
      <w:sz w:val="20"/>
      <w:szCs w:val="22"/>
    </w:rPr>
  </w:style>
  <w:style w:type="paragraph" w:customStyle="1" w:styleId="9">
    <w:name w:val="Table 1_CH"/>
    <w:qFormat/>
    <w:uiPriority w:val="0"/>
    <w:pPr>
      <w:spacing w:line="240" w:lineRule="auto"/>
    </w:pPr>
    <w:rPr>
      <w:rFonts w:ascii="SansSerif" w:hAnsi="SansSerif" w:eastAsia="SansSerif" w:cs="SansSerif"/>
      <w:color w:val="000000"/>
      <w:sz w:val="20"/>
      <w:szCs w:val="22"/>
    </w:rPr>
  </w:style>
  <w:style w:type="paragraph" w:customStyle="1" w:styleId="10">
    <w:name w:val="Table 1_TD"/>
    <w:qFormat/>
    <w:uiPriority w:val="0"/>
    <w:pPr>
      <w:spacing w:line="240" w:lineRule="auto"/>
    </w:pPr>
    <w:rPr>
      <w:rFonts w:ascii="SansSerif" w:hAnsi="SansSerif" w:eastAsia="SansSerif" w:cs="SansSerif"/>
      <w:color w:val="000000"/>
      <w:sz w:val="20"/>
      <w:szCs w:val="22"/>
    </w:rPr>
  </w:style>
  <w:style w:type="paragraph" w:customStyle="1" w:styleId="11">
    <w:name w:val="Table_CD"/>
    <w:qFormat/>
    <w:uiPriority w:val="0"/>
    <w:pPr>
      <w:spacing w:line="240" w:lineRule="auto"/>
    </w:pPr>
    <w:rPr>
      <w:rFonts w:ascii="SansSerif" w:hAnsi="SansSerif" w:eastAsia="SansSerif" w:cs="SansSerif"/>
      <w:color w:val="000000"/>
      <w:sz w:val="20"/>
      <w:szCs w:val="22"/>
    </w:rPr>
  </w:style>
  <w:style w:type="paragraph" w:customStyle="1" w:styleId="12">
    <w:name w:val="Table 2_TH"/>
    <w:qFormat/>
    <w:uiPriority w:val="0"/>
    <w:pPr>
      <w:spacing w:line="240" w:lineRule="auto"/>
    </w:pPr>
    <w:rPr>
      <w:rFonts w:ascii="SansSerif" w:hAnsi="SansSerif" w:eastAsia="SansSerif" w:cs="SansSerif"/>
      <w:color w:val="000000"/>
      <w:sz w:val="20"/>
      <w:szCs w:val="22"/>
    </w:rPr>
  </w:style>
  <w:style w:type="paragraph" w:customStyle="1" w:styleId="13">
    <w:name w:val="Table 2_CH"/>
    <w:qFormat/>
    <w:uiPriority w:val="0"/>
    <w:pPr>
      <w:spacing w:line="240" w:lineRule="auto"/>
    </w:pPr>
    <w:rPr>
      <w:rFonts w:ascii="SansSerif" w:hAnsi="SansSerif" w:eastAsia="SansSerif" w:cs="SansSerif"/>
      <w:color w:val="000000"/>
      <w:sz w:val="20"/>
      <w:szCs w:val="22"/>
    </w:rPr>
  </w:style>
  <w:style w:type="paragraph" w:customStyle="1" w:styleId="14">
    <w:name w:val="Table 2_TD"/>
    <w:qFormat/>
    <w:uiPriority w:val="0"/>
    <w:pPr>
      <w:spacing w:line="240" w:lineRule="auto"/>
    </w:pPr>
    <w:rPr>
      <w:rFonts w:ascii="SansSerif" w:hAnsi="SansSerif" w:eastAsia="SansSerif" w:cs="SansSerif"/>
      <w:color w:val="000000"/>
      <w:sz w:val="20"/>
      <w:szCs w:val="22"/>
    </w:rPr>
  </w:style>
  <w:style w:type="paragraph" w:customStyle="1" w:styleId="15">
    <w:name w:val="Table 3_TH"/>
    <w:qFormat/>
    <w:uiPriority w:val="0"/>
    <w:pPr>
      <w:spacing w:line="240" w:lineRule="auto"/>
    </w:pPr>
    <w:rPr>
      <w:rFonts w:ascii="SansSerif" w:hAnsi="SansSerif" w:eastAsia="SansSerif" w:cs="SansSerif"/>
      <w:color w:val="000000"/>
      <w:sz w:val="20"/>
      <w:szCs w:val="22"/>
    </w:rPr>
  </w:style>
  <w:style w:type="paragraph" w:customStyle="1" w:styleId="16">
    <w:name w:val="Table 3_CH"/>
    <w:qFormat/>
    <w:uiPriority w:val="0"/>
    <w:pPr>
      <w:spacing w:line="240" w:lineRule="auto"/>
    </w:pPr>
    <w:rPr>
      <w:rFonts w:ascii="SansSerif" w:hAnsi="SansSerif" w:eastAsia="SansSerif" w:cs="SansSerif"/>
      <w:color w:val="000000"/>
      <w:sz w:val="20"/>
      <w:szCs w:val="22"/>
    </w:rPr>
  </w:style>
  <w:style w:type="paragraph" w:customStyle="1" w:styleId="17">
    <w:name w:val="Table 3_TD"/>
    <w:qFormat/>
    <w:uiPriority w:val="0"/>
    <w:pPr>
      <w:spacing w:line="240" w:lineRule="auto"/>
    </w:pPr>
    <w:rPr>
      <w:rFonts w:ascii="SansSerif" w:hAnsi="SansSerif" w:eastAsia="SansSerif" w:cs="SansSerif"/>
      <w:color w:val="000000"/>
      <w:sz w:val="20"/>
      <w:szCs w:val="22"/>
    </w:rPr>
  </w:style>
  <w:style w:type="paragraph" w:customStyle="1" w:styleId="18">
    <w:name w:val="Table 4_TH"/>
    <w:qFormat/>
    <w:uiPriority w:val="0"/>
    <w:pPr>
      <w:spacing w:line="240" w:lineRule="auto"/>
    </w:pPr>
    <w:rPr>
      <w:rFonts w:ascii="SansSerif" w:hAnsi="SansSerif" w:eastAsia="SansSerif" w:cs="SansSerif"/>
      <w:color w:val="000000"/>
      <w:sz w:val="20"/>
      <w:szCs w:val="22"/>
    </w:rPr>
  </w:style>
  <w:style w:type="paragraph" w:customStyle="1" w:styleId="19">
    <w:name w:val="Table 4_CH"/>
    <w:qFormat/>
    <w:uiPriority w:val="0"/>
    <w:pPr>
      <w:spacing w:line="240" w:lineRule="auto"/>
    </w:pPr>
    <w:rPr>
      <w:rFonts w:ascii="SansSerif" w:hAnsi="SansSerif" w:eastAsia="SansSerif" w:cs="SansSerif"/>
      <w:color w:val="000000"/>
      <w:sz w:val="20"/>
      <w:szCs w:val="22"/>
    </w:rPr>
  </w:style>
  <w:style w:type="paragraph" w:customStyle="1" w:styleId="20">
    <w:name w:val="Table 4_TD"/>
    <w:qFormat/>
    <w:uiPriority w:val="0"/>
    <w:pPr>
      <w:spacing w:line="240" w:lineRule="auto"/>
    </w:pPr>
    <w:rPr>
      <w:rFonts w:ascii="SansSerif" w:hAnsi="SansSerif" w:eastAsia="SansSerif" w:cs="SansSerif"/>
      <w:color w:val="000000"/>
      <w:sz w:val="20"/>
      <w:szCs w:val="22"/>
    </w:rPr>
  </w:style>
  <w:style w:type="paragraph" w:customStyle="1" w:styleId="21">
    <w:name w:val="Table 5_TH"/>
    <w:qFormat/>
    <w:uiPriority w:val="0"/>
    <w:pPr>
      <w:spacing w:line="240" w:lineRule="auto"/>
    </w:pPr>
    <w:rPr>
      <w:rFonts w:ascii="SansSerif" w:hAnsi="SansSerif" w:eastAsia="SansSerif" w:cs="SansSerif"/>
      <w:color w:val="000000"/>
      <w:sz w:val="20"/>
      <w:szCs w:val="22"/>
    </w:rPr>
  </w:style>
  <w:style w:type="paragraph" w:customStyle="1" w:styleId="22">
    <w:name w:val="Table 5_CH"/>
    <w:qFormat/>
    <w:uiPriority w:val="0"/>
    <w:pPr>
      <w:spacing w:line="240" w:lineRule="auto"/>
    </w:pPr>
    <w:rPr>
      <w:rFonts w:ascii="SansSerif" w:hAnsi="SansSerif" w:eastAsia="SansSerif" w:cs="SansSerif"/>
      <w:color w:val="000000"/>
      <w:sz w:val="20"/>
      <w:szCs w:val="22"/>
    </w:rPr>
  </w:style>
  <w:style w:type="paragraph" w:customStyle="1" w:styleId="23">
    <w:name w:val="Table 5_TD"/>
    <w:qFormat/>
    <w:uiPriority w:val="0"/>
    <w:pPr>
      <w:spacing w:line="240" w:lineRule="auto"/>
    </w:pPr>
    <w:rPr>
      <w:rFonts w:ascii="SansSerif" w:hAnsi="SansSerif" w:eastAsia="SansSerif" w:cs="SansSerif"/>
      <w:color w:val="000000"/>
      <w:sz w:val="20"/>
      <w:szCs w:val="22"/>
    </w:rPr>
  </w:style>
  <w:style w:type="paragraph" w:customStyle="1" w:styleId="24">
    <w:name w:val="Table 6_TH"/>
    <w:qFormat/>
    <w:uiPriority w:val="0"/>
    <w:pPr>
      <w:spacing w:line="240" w:lineRule="auto"/>
    </w:pPr>
    <w:rPr>
      <w:rFonts w:ascii="SansSerif" w:hAnsi="SansSerif" w:eastAsia="SansSerif" w:cs="SansSerif"/>
      <w:color w:val="000000"/>
      <w:sz w:val="20"/>
      <w:szCs w:val="22"/>
    </w:rPr>
  </w:style>
  <w:style w:type="paragraph" w:customStyle="1" w:styleId="25">
    <w:name w:val="Table 6_CH"/>
    <w:qFormat/>
    <w:uiPriority w:val="0"/>
    <w:pPr>
      <w:spacing w:line="240" w:lineRule="auto"/>
    </w:pPr>
    <w:rPr>
      <w:rFonts w:ascii="SansSerif" w:hAnsi="SansSerif" w:eastAsia="SansSerif" w:cs="SansSerif"/>
      <w:color w:val="000000"/>
      <w:sz w:val="20"/>
      <w:szCs w:val="22"/>
    </w:rPr>
  </w:style>
  <w:style w:type="paragraph" w:customStyle="1" w:styleId="26">
    <w:name w:val="Table 6_TD"/>
    <w:qFormat/>
    <w:uiPriority w:val="0"/>
    <w:pPr>
      <w:spacing w:line="240" w:lineRule="auto"/>
    </w:pPr>
    <w:rPr>
      <w:rFonts w:ascii="SansSerif" w:hAnsi="SansSerif" w:eastAsia="SansSerif" w:cs="SansSerif"/>
      <w:color w:val="000000"/>
      <w:sz w:val="20"/>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0</TotalTime>
  <ScaleCrop>false</ScaleCrop>
  <LinksUpToDate>false</LinksUpToDate>
  <Application>WPS Office_11.8.2.10164_F1E327BC-269C-435d-A152-05C5408002CA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2025-07-11T15:00:00Z</dcterms:created>
  <dc:creator>wangdi6</dc:creator>
  <cp:lastModifiedBy>wangdi6</cp:lastModifiedBy>
  <dcterms:modified xsi:type="dcterms:W3CDTF">2025-07-12T06:13:13Z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ies>
</file>