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杭银理财丰收周添益开放式1期理财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杭银理财丰收周添益开放式1期理财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FSTYG7D01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Z7002224000032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2024年1月23日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1,442,678,426.87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100.50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1,442,678,426.87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1,387,267,712.33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1.039942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1.039942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丰收周添益1期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FSTYG7D01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1.039942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1.039942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1,442,678,426.87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丰收周添益1期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券收益率延续震荡上行。信用债收益率在三季度同样持续震荡上行，长端大于短端，高信用等级大于低信用等级，二永债大于普信债。信用利差方面，中短久期品种压缩，长久期及超长久期品种走阔。 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 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总体上来说，预期四季度债券收益率维持震荡态势，策略上，信用债保持一定仓位，维持子弹型久期配置，适时把握交易性资产的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44.47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兴业银行股份有限公司 1.71 2025/06/10 4181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100,536,750.00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质押式逆回购(493094)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100,028,356.15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25农业银行CD070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99,311,259.45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25光大银行CD112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98,867,330.68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22路桥公投PPN003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51,530,242.47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质押式逆回购(710001-000410)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50,011,342.43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24浦发银行CD277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49,913,893.84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25工商银行CD072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49,670,981.92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他行存款(426001-000110)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42,092,424.47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40,603,469.59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1,531,561,946.31</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1,387,267,712.33</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lang w:eastAsia="zh-Hans"/>
              </w:rPr>
            </w:pPr>
            <w:r w:rsidRPr="000064EC">
              <w:rPr>
                <w:rFonts w:asciiTheme="minorEastAsia" w:eastAsiaTheme="minorEastAsia" w:hAnsiTheme="minorEastAsia" w:cs="仿宋" w:hint="eastAsia"/>
                <w:color w:val="000000"/>
                <w:kern w:val="0"/>
                <w:sz w:val="24"/>
                <w:lang w:eastAsia="zh-Hans"/>
              </w:rPr>
              <w:t>21谷财MTN001</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债券</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买入</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20,534,588.22</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2</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lang w:eastAsia="zh-Hans"/>
              </w:rPr>
            </w:pPr>
            <w:r w:rsidRPr="000064EC">
              <w:rPr>
                <w:rFonts w:asciiTheme="minorEastAsia" w:eastAsiaTheme="minorEastAsia" w:hAnsiTheme="minorEastAsia" w:cs="仿宋" w:hint="eastAsia"/>
                <w:color w:val="000000"/>
                <w:kern w:val="0"/>
                <w:sz w:val="24"/>
                <w:lang w:eastAsia="zh-Hans"/>
              </w:rPr>
              <w:t>25温州现代SCP003</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债券</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买入</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19,980,321.91</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200,000.00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杭银理财丰收周添益开放式1期理财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3301040160015309811-8101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