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D80E27" w:rsidP="00D80E27">
      <w:pPr>
        <w:jc w:val="center"/>
        <w:rPr>
          <w:rFonts w:ascii="宋体" w:eastAsia="宋体" w:hAnsi="宋体"/>
          <w:b/>
          <w:sz w:val="32"/>
          <w:szCs w:val="20"/>
        </w:rPr>
      </w:pPr>
      <w:bookmarkStart w:id="0" w:name="_Toc379618105"/>
    </w:p>
    <w:p w:rsidR="00D80E27" w:rsidP="00D80E27">
      <w:pPr>
        <w:adjustRightInd w:val="0"/>
        <w:snapToGrid w:val="0"/>
        <w:spacing w:line="460" w:lineRule="exact"/>
        <w:jc w:val="center"/>
        <w:rPr>
          <w:rFonts w:ascii="Times New Roman" w:eastAsia="方正楷体简体" w:hAnsi="Times New Roman"/>
          <w:sz w:val="24"/>
        </w:rPr>
      </w:pPr>
    </w:p>
    <w:p w:rsidR="00D80E27" w:rsidP="00D80E27"/>
    <w:p w:rsidR="00D80E27" w:rsidRPr="000064EC" w:rsidP="00D80E27">
      <w:pPr>
        <w:autoSpaceDE w:val="0"/>
        <w:autoSpaceDN w:val="0"/>
        <w:spacing w:before="220"/>
        <w:jc w:val="center"/>
        <w:rPr>
          <w:rFonts w:asciiTheme="majorEastAsia" w:eastAsiaTheme="majorEastAsia" w:hAnsiTheme="majorEastAsia" w:cs="仿宋_GB2312"/>
          <w:b/>
          <w:kern w:val="0"/>
          <w:sz w:val="52"/>
          <w:szCs w:val="52"/>
          <w:lang w:bidi="zh-CN"/>
        </w:rPr>
      </w:pPr>
      <w:r w:rsidRPr="000064EC">
        <w:rPr>
          <w:rFonts w:asciiTheme="majorEastAsia" w:eastAsiaTheme="majorEastAsia" w:hAnsiTheme="majorEastAsia" w:cs="仿宋_GB2312" w:hint="eastAsia"/>
          <w:b/>
          <w:kern w:val="0"/>
          <w:sz w:val="52"/>
          <w:szCs w:val="52"/>
          <w:lang w:bidi="zh-CN"/>
        </w:rPr>
        <w:t>杭银理财丰收天添益开放式1期理财</w:t>
      </w:r>
    </w:p>
    <w:p w:rsidR="00D80E27" w:rsidRPr="000064EC" w:rsidP="00D80E27">
      <w:pPr>
        <w:autoSpaceDE w:val="0"/>
        <w:autoSpaceDN w:val="0"/>
        <w:spacing w:line="360" w:lineRule="auto"/>
        <w:jc w:val="center"/>
        <w:rPr>
          <w:rFonts w:asciiTheme="majorEastAsia" w:eastAsiaTheme="majorEastAsia" w:hAnsiTheme="majorEastAsia" w:cs="仿宋_GB2312"/>
          <w:b/>
          <w:bCs/>
          <w:kern w:val="0"/>
          <w:sz w:val="44"/>
          <w:szCs w:val="44"/>
          <w:lang w:bidi="zh-CN"/>
        </w:rPr>
      </w:pPr>
      <w:r w:rsidRPr="000064EC">
        <w:rPr>
          <w:rFonts w:asciiTheme="majorEastAsia" w:eastAsiaTheme="majorEastAsia" w:hAnsiTheme="majorEastAsia" w:cs="仿宋_GB2312" w:hint="eastAsia"/>
          <w:b/>
          <w:bCs/>
          <w:kern w:val="0"/>
          <w:sz w:val="44"/>
          <w:szCs w:val="44"/>
          <w:lang w:bidi="zh-CN"/>
        </w:rPr>
        <w:t>2025</w:t>
      </w:r>
      <w:r>
        <w:rPr>
          <w:b/>
          <w:sz w:val="44"/>
        </w:rPr>
        <w:t>年第</w:t>
      </w:r>
      <w:r>
        <w:rPr>
          <w:b/>
          <w:sz w:val="44"/>
        </w:rPr>
        <w:t>3</w:t>
      </w:r>
      <w:r>
        <w:rPr>
          <w:b/>
          <w:sz w:val="44"/>
        </w:rPr>
        <w:t>季度报告</w:t>
      </w:r>
    </w:p>
    <w:p w:rsidR="00D80E27" w:rsidP="00D80E27">
      <w:pPr>
        <w:jc w:val="center"/>
        <w:rPr>
          <w:rFonts w:ascii="宋体" w:eastAsia="宋体" w:hAnsi="宋体"/>
          <w:color w:val="0000FF"/>
          <w:kern w:val="0"/>
          <w:sz w:val="18"/>
          <w:szCs w:val="20"/>
        </w:rPr>
      </w:pPr>
    </w:p>
    <w:p w:rsidR="00D80E27" w:rsidP="00D80E27">
      <w:pPr>
        <w:jc w:val="center"/>
        <w:rPr>
          <w:rFonts w:ascii="Times New Roman" w:eastAsia="宋体" w:hAnsi="Times New Roman"/>
          <w:sz w:val="24"/>
        </w:rPr>
      </w:pPr>
    </w:p>
    <w:p w:rsidR="00D80E27" w:rsidP="00D80E27">
      <w:pPr>
        <w:jc w:val="center"/>
        <w:rPr>
          <w:rFonts w:eastAsia="宋体"/>
          <w:sz w:val="24"/>
        </w:rPr>
      </w:pPr>
    </w:p>
    <w:p w:rsidR="00D80E27" w:rsidP="00D80E27">
      <w:pPr>
        <w:jc w:val="center"/>
        <w:rPr>
          <w:rFonts w:eastAsia="宋体"/>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产品管理人：</w:t>
      </w:r>
      <w:r>
        <w:rPr>
          <w:sz w:val="24"/>
        </w:rPr>
        <w:t>杭银理财有限责任公司</w:t>
      </w: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产品托管人：</w:t>
      </w:r>
      <w:r>
        <w:rPr>
          <w:sz w:val="24"/>
        </w:rPr>
        <w:t>杭州银行股份有限公司</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r w:rsidRPr="000064EC">
        <w:rPr>
          <w:rFonts w:asciiTheme="minorEastAsia" w:eastAsiaTheme="minorEastAsia" w:hAnsiTheme="minorEastAsia" w:hint="eastAsia"/>
          <w:sz w:val="24"/>
        </w:rPr>
        <w:t>2025年10月20日</w:t>
      </w:r>
    </w:p>
    <w:p w:rsidR="00D80E27" w:rsidRPr="000064EC" w:rsidP="00D80E27">
      <w:pPr>
        <w:jc w:val="center"/>
        <w:rPr>
          <w:rFonts w:asciiTheme="minorEastAsia" w:eastAsiaTheme="minorEastAsia" w:hAnsiTheme="minorEastAsia"/>
          <w:sz w:val="24"/>
        </w:rPr>
      </w:pPr>
    </w:p>
    <w:p w:rsidR="00D80E27" w:rsidRPr="000064EC" w:rsidP="00D80E27">
      <w:pPr>
        <w:jc w:val="center"/>
        <w:rPr>
          <w:rFonts w:asciiTheme="minorEastAsia" w:eastAsiaTheme="minorEastAsia" w:hAnsiTheme="minorEastAsia"/>
          <w:sz w:val="24"/>
        </w:rPr>
      </w:pPr>
    </w:p>
    <w:p w:rsidR="00D80E27" w:rsidP="00D80E27">
      <w:pPr>
        <w:jc w:val="center"/>
        <w:rPr>
          <w:rFonts w:ascii="宋体" w:eastAsia="宋体" w:hAnsi="宋体"/>
        </w:rPr>
      </w:pPr>
    </w:p>
    <w:p w:rsidR="00D80E27" w:rsidP="00D80E27">
      <w:pPr>
        <w:jc w:val="center"/>
        <w:rPr>
          <w:rFonts w:ascii="宋体" w:eastAsia="宋体" w:hAnsi="宋体"/>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 w:name="_GoBack"/>
      <w:r w:rsidRPr="000064EC">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产品托管人根据本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合同规定，于</w:t>
            </w:r>
            <w:r>
              <w:rPr>
                <w:color w:val="404040"/>
                <w:sz w:val="24"/>
              </w:rPr>
              <w:t>2025年9月30日</w:t>
            </w:r>
            <w:r w:rsidRPr="000064EC">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产品的过往业绩并不代表其未来表现。投资有风险，投资者在</w:t>
            </w:r>
            <w:r w:rsidRPr="000064EC">
              <w:rPr>
                <w:rFonts w:asciiTheme="minorEastAsia" w:eastAsiaTheme="minorEastAsia" w:hAnsiTheme="minorEastAsia" w:cs="仿宋" w:hint="eastAsia"/>
                <w:color w:val="404040"/>
                <w:kern w:val="0"/>
                <w:sz w:val="24"/>
              </w:rPr>
              <w:t>作出</w:t>
            </w:r>
            <w:r w:rsidRPr="000064EC">
              <w:rPr>
                <w:rFonts w:asciiTheme="minorEastAsia" w:eastAsiaTheme="minorEastAsia" w:hAnsiTheme="minorEastAsia" w:cs="仿宋" w:hint="eastAsia"/>
                <w:color w:val="404040"/>
                <w:kern w:val="0"/>
                <w:sz w:val="24"/>
              </w:rPr>
              <w:t>投资决策前应仔细阅读本</w:t>
            </w:r>
            <w:r w:rsidRPr="000064EC">
              <w:rPr>
                <w:rFonts w:asciiTheme="minorEastAsia" w:eastAsiaTheme="minorEastAsia" w:hAnsiTheme="minorEastAsia" w:cs="仿宋" w:hint="eastAsia"/>
                <w:color w:val="000000"/>
                <w:sz w:val="24"/>
              </w:rPr>
              <w:t>产品</w:t>
            </w:r>
            <w:r w:rsidRPr="000064EC">
              <w:rPr>
                <w:rFonts w:asciiTheme="minorEastAsia" w:eastAsiaTheme="minorEastAsia" w:hAnsiTheme="minorEastAsia" w:cs="仿宋" w:hint="eastAsia"/>
                <w:color w:val="404040"/>
                <w:kern w:val="0"/>
                <w:sz w:val="24"/>
              </w:rPr>
              <w:t>的产品说明书。</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color w:val="404040"/>
                <w:kern w:val="0"/>
                <w:sz w:val="24"/>
              </w:rPr>
            </w:pPr>
            <w:r w:rsidRPr="000064EC">
              <w:rPr>
                <w:rFonts w:asciiTheme="minorEastAsia" w:eastAsiaTheme="minorEastAsia" w:hAnsiTheme="minorEastAsia" w:cs="仿宋" w:hint="eastAsia"/>
                <w:color w:val="404040"/>
                <w:kern w:val="0"/>
                <w:sz w:val="24"/>
              </w:rPr>
              <w:t>本报告中财务资料未经审计。</w:t>
            </w:r>
          </w:p>
          <w:p w:rsidR="0014030B" w:rsidRPr="000064EC">
            <w:pPr>
              <w:widowControl/>
              <w:adjustRightInd w:val="0"/>
              <w:snapToGrid w:val="0"/>
              <w:spacing w:line="420" w:lineRule="exact"/>
              <w:ind w:firstLine="480" w:firstLineChars="200"/>
              <w:jc w:val="left"/>
              <w:rPr>
                <w:rFonts w:asciiTheme="minorEastAsia" w:eastAsiaTheme="minorEastAsia" w:hAnsiTheme="minorEastAsia" w:cs="仿宋"/>
                <w:sz w:val="24"/>
              </w:rPr>
            </w:pPr>
            <w:r w:rsidRPr="000064EC">
              <w:rPr>
                <w:rFonts w:asciiTheme="minorEastAsia" w:eastAsiaTheme="minorEastAsia" w:hAnsiTheme="minorEastAsia" w:cs="仿宋" w:hint="eastAsia"/>
                <w:color w:val="404040"/>
                <w:kern w:val="0"/>
                <w:sz w:val="24"/>
              </w:rPr>
              <w:t>本报告期自</w:t>
            </w:r>
            <w:r>
              <w:rPr>
                <w:color w:val="404040"/>
                <w:sz w:val="24"/>
              </w:rPr>
              <w:t>2025年7月1日</w:t>
            </w:r>
            <w:r w:rsidRPr="000064EC">
              <w:rPr>
                <w:rFonts w:asciiTheme="minorEastAsia" w:eastAsiaTheme="minorEastAsia" w:hAnsiTheme="minorEastAsia" w:cs="仿宋" w:hint="eastAsia"/>
                <w:color w:val="404040"/>
                <w:kern w:val="0"/>
                <w:sz w:val="24"/>
              </w:rPr>
              <w:t>起至</w:t>
            </w:r>
            <w:r>
              <w:rPr>
                <w:color w:val="404040"/>
                <w:sz w:val="24"/>
              </w:rPr>
              <w:t>2025年9月30日</w:t>
            </w:r>
            <w:r w:rsidRPr="000064EC">
              <w:rPr>
                <w:rFonts w:asciiTheme="minorEastAsia" w:eastAsiaTheme="minorEastAsia" w:hAnsiTheme="minorEastAsia" w:cs="仿宋" w:hint="eastAsia"/>
                <w:color w:val="404040"/>
                <w:kern w:val="0"/>
                <w:sz w:val="24"/>
              </w:rPr>
              <w:t>止。</w:t>
            </w:r>
          </w:p>
        </w:tc>
      </w:tr>
    </w:tbl>
    <w:p w:rsidR="0014030B" w:rsidRPr="000064EC">
      <w:pPr>
        <w:rPr>
          <w:rStyle w:val="a1"/>
          <w:rFonts w:asciiTheme="minorEastAsia" w:eastAsiaTheme="minorEastAsia" w:hAnsiTheme="minorEastAsia" w:cs="仿宋"/>
          <w:color w:val="0000FF"/>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2" w:name="_Toc67575498"/>
      <w:r w:rsidRPr="000064EC">
        <w:rPr>
          <w:rFonts w:asciiTheme="minorEastAsia" w:eastAsiaTheme="minorEastAsia" w:hAnsiTheme="minorEastAsia" w:cs="仿宋" w:hint="eastAsia"/>
          <w:sz w:val="24"/>
        </w:rPr>
        <w:t>§2  产品概况</w:t>
      </w:r>
      <w:bookmarkEnd w:id="2"/>
    </w:p>
    <w:p w:rsidR="0014030B" w:rsidRPr="000064EC">
      <w:pPr>
        <w:adjustRightInd w:val="0"/>
        <w:snapToGrid w:val="0"/>
        <w:spacing w:line="440" w:lineRule="exact"/>
        <w:outlineLvl w:val="2"/>
        <w:rPr>
          <w:rFonts w:asciiTheme="minorEastAsia" w:eastAsiaTheme="minorEastAsia" w:hAnsiTheme="minorEastAsia" w:cs="仿宋"/>
          <w:b/>
          <w:sz w:val="24"/>
        </w:rPr>
      </w:pPr>
      <w:bookmarkStart w:id="3" w:name="_Toc1870029270"/>
      <w:bookmarkStart w:id="4" w:name="_Toc354129567"/>
      <w:r w:rsidRPr="000064EC">
        <w:rPr>
          <w:rFonts w:asciiTheme="minorEastAsia" w:eastAsiaTheme="minorEastAsia" w:hAnsiTheme="minorEastAsia" w:cs="仿宋" w:hint="eastAsia"/>
          <w:b/>
          <w:sz w:val="24"/>
        </w:rPr>
        <w:t>2.1 产品基本情况</w:t>
      </w:r>
      <w:bookmarkEnd w:id="3"/>
      <w:bookmarkEnd w:id="4"/>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杭银理财丰收天添益开放式1期理财</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FSTYG1D01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Z7002224000269</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2024年9月5日</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公募</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开放式净值型</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固定收益类</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中国人民银行公布的7天通知存款利率</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报告期末产品规模（</w:t>
            </w:r>
            <w:r w:rsidRPr="000064EC" w:rsidR="002511E7">
              <w:rPr>
                <w:rFonts w:asciiTheme="minorEastAsia" w:eastAsiaTheme="minorEastAsia" w:hAnsiTheme="minorEastAsia" w:cs="仿宋" w:hint="eastAsia"/>
                <w:sz w:val="24"/>
              </w:rPr>
              <w:t>元</w:t>
            </w:r>
            <w:r w:rsidRPr="000064EC">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1,271,793,930.66</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100.41</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二级（中低）</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杭银理财有限责任公司</w:t>
            </w:r>
          </w:p>
        </w:tc>
      </w:tr>
      <w:tr>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lef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杭州银行股份有限公司</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*杠杆水平=总资产/理财产品净资产，理财产品净资产=总资产-总负债</w:t>
      </w:r>
    </w:p>
    <w:p w:rsidR="0014030B" w:rsidRPr="000064EC">
      <w:pPr>
        <w:adjustRightInd w:val="0"/>
        <w:snapToGrid w:val="0"/>
        <w:spacing w:line="360" w:lineRule="exact"/>
        <w:rPr>
          <w:rFonts w:asciiTheme="minorEastAsia" w:eastAsiaTheme="minorEastAsia" w:hAnsiTheme="minorEastAsia" w:cs="仿宋"/>
          <w:color w:val="00000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5" w:name="_Toc1158767045"/>
      <w:r w:rsidRPr="000064EC">
        <w:rPr>
          <w:rFonts w:asciiTheme="minorEastAsia" w:eastAsiaTheme="minorEastAsia" w:hAnsiTheme="minorEastAsia" w:cs="仿宋" w:hint="eastAsia"/>
          <w:sz w:val="24"/>
        </w:rPr>
        <w:t>§3  主要财务指标和产品净值表现</w:t>
      </w:r>
      <w:bookmarkEnd w:id="5"/>
    </w:p>
    <w:p w:rsidR="0014030B" w:rsidRPr="000064EC">
      <w:pPr>
        <w:adjustRightInd w:val="0"/>
        <w:snapToGrid w:val="0"/>
        <w:spacing w:line="440" w:lineRule="exact"/>
        <w:outlineLvl w:val="2"/>
        <w:rPr>
          <w:rFonts w:asciiTheme="minorEastAsia" w:eastAsiaTheme="minorEastAsia" w:hAnsiTheme="minorEastAsia" w:cs="仿宋"/>
          <w:b/>
          <w:sz w:val="24"/>
        </w:rPr>
      </w:pPr>
      <w:bookmarkStart w:id="6" w:name="_Toc2016014319"/>
      <w:r w:rsidRPr="000064EC">
        <w:rPr>
          <w:rFonts w:asciiTheme="minorEastAsia" w:eastAsiaTheme="minorEastAsia" w:hAnsiTheme="minorEastAsia" w:cs="仿宋" w:hint="eastAsia"/>
          <w:b/>
          <w:sz w:val="24"/>
        </w:rPr>
        <w:t>3.1 主要财务指标和产品净值表现</w:t>
      </w:r>
      <w:bookmarkEnd w:id="6"/>
    </w:p>
    <w:p w:rsidR="0014030B" w:rsidRPr="000064EC">
      <w:pPr>
        <w:adjustRightInd w:val="0"/>
        <w:snapToGrid w:val="0"/>
        <w:spacing w:line="440" w:lineRule="exact"/>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报告期</w:t>
            </w:r>
          </w:p>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w:t>
            </w:r>
            <w:r>
              <w:rPr>
                <w:color w:val="000000"/>
                <w:sz w:val="24"/>
              </w:rPr>
              <w:t>2025年7月1日</w:t>
            </w:r>
            <w:r w:rsidRPr="000064EC">
              <w:rPr>
                <w:rFonts w:asciiTheme="minorEastAsia" w:eastAsiaTheme="minorEastAsia" w:hAnsiTheme="minorEastAsia" w:cs="仿宋" w:hint="eastAsia"/>
                <w:color w:val="000000"/>
                <w:kern w:val="0"/>
                <w:sz w:val="24"/>
              </w:rPr>
              <w:t>-</w:t>
            </w:r>
            <w:r>
              <w:rPr>
                <w:color w:val="000000"/>
                <w:sz w:val="24"/>
              </w:rPr>
              <w:t>2025年9月30日</w:t>
            </w:r>
            <w:r w:rsidRPr="000064EC">
              <w:rPr>
                <w:rFonts w:asciiTheme="minorEastAsia" w:eastAsiaTheme="minorEastAsia" w:hAnsiTheme="minorEastAsia" w:cs="仿宋" w:hint="eastAsia"/>
                <w:color w:val="000000"/>
                <w:kern w:val="0"/>
                <w:sz w:val="24"/>
              </w:rPr>
              <w:t>）</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1,271,793,930.66</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Fonts w:asciiTheme="minorEastAsia" w:eastAsiaTheme="minorEastAsia" w:hAnsiTheme="minorEastAsia" w:cs="仿宋"/>
                <w:sz w:val="24"/>
              </w:rPr>
            </w:pPr>
            <w:r w:rsidRPr="000064EC">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1,242,274,068.99</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1.023762</w:t>
            </w:r>
          </w:p>
        </w:tc>
      </w:tr>
      <w:tr>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rPr>
                <w:rStyle w:val="a1"/>
                <w:rFonts w:asciiTheme="minorEastAsia" w:eastAsiaTheme="minorEastAsia" w:hAnsiTheme="minorEastAsia" w:cs="仿宋"/>
                <w:sz w:val="24"/>
              </w:rPr>
            </w:pPr>
            <w:r w:rsidRPr="000064EC">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right"/>
              <w:rPr>
                <w:rFonts w:asciiTheme="minorEastAsia" w:eastAsiaTheme="minorEastAsia" w:hAnsiTheme="minorEastAsia" w:cs="仿宋"/>
                <w:sz w:val="24"/>
              </w:rPr>
            </w:pPr>
            <w:r w:rsidRPr="000064EC">
              <w:rPr>
                <w:rFonts w:asciiTheme="minorEastAsia" w:eastAsiaTheme="minorEastAsia" w:hAnsiTheme="minorEastAsia" w:cs="仿宋" w:hint="eastAsia"/>
                <w:kern w:val="0"/>
                <w:sz w:val="24"/>
              </w:rPr>
              <w:t>1.023762</w:t>
            </w:r>
          </w:p>
        </w:tc>
      </w:tr>
      <w:tr>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FF"/>
                <w:sz w:val="24"/>
              </w:rPr>
            </w:pPr>
            <w:r w:rsidRPr="000064EC">
              <w:rPr>
                <w:rFonts w:asciiTheme="minorEastAsia" w:eastAsiaTheme="minorEastAsia" w:hAnsiTheme="minorEastAsia" w:cs="仿宋" w:hint="eastAsia"/>
                <w:kern w:val="0"/>
                <w:sz w:val="24"/>
              </w:rPr>
              <w:t>报告期末下属子产品相关信息披露</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w:t>
            </w:r>
          </w:p>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资产净值</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丰收天添益1期A款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FSTYG1D01A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1.023775</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1.023775</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1,238,275,608.18</w:t>
            </w:r>
          </w:p>
        </w:tc>
      </w:tr>
      <w:tr>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丰收天添益1期B款</w:t>
            </w:r>
          </w:p>
        </w:tc>
        <w:tc>
          <w:tcPr>
            <w:tcW w:w="1418"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FSTYG1D01B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1.023279</w:t>
            </w:r>
          </w:p>
        </w:tc>
        <w:tc>
          <w:tcPr>
            <w:tcW w:w="992"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1.023279</w:t>
            </w:r>
          </w:p>
        </w:tc>
        <w:tc>
          <w:tcPr>
            <w:tcW w:w="3321" w:type="dxa"/>
            <w:tcBorders>
              <w:top w:val="single" w:sz="4" w:space="0" w:color="auto"/>
              <w:left w:val="single" w:sz="4" w:space="0" w:color="auto"/>
              <w:bottom w:val="single" w:sz="4" w:space="0" w:color="auto"/>
              <w:right w:val="single" w:sz="4" w:space="0" w:color="auto"/>
            </w:tcBorders>
            <w:vAlign w:val="center"/>
          </w:tcPr>
          <w:p w:rsidR="0014030B" w:rsidRPr="000064EC">
            <w:pPr>
              <w:pStyle w:val="NormalWeb"/>
              <w:adjustRightInd w:val="0"/>
              <w:snapToGrid w:val="0"/>
              <w:spacing w:before="0" w:beforeAutospacing="0" w:after="0" w:afterAutospacing="0"/>
              <w:jc w:val="center"/>
              <w:rPr>
                <w:rFonts w:asciiTheme="minorEastAsia" w:eastAsiaTheme="minorEastAsia" w:hAnsiTheme="minorEastAsia" w:cs="仿宋"/>
                <w:color w:val="000000"/>
                <w:szCs w:val="24"/>
              </w:rPr>
            </w:pPr>
            <w:r w:rsidRPr="000064EC">
              <w:rPr>
                <w:rFonts w:asciiTheme="minorEastAsia" w:eastAsiaTheme="minorEastAsia" w:hAnsiTheme="minorEastAsia" w:cs="仿宋" w:hint="eastAsia"/>
                <w:color w:val="000000"/>
                <w:szCs w:val="24"/>
              </w:rPr>
              <w:t>33,518,322.48</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7" w:name="_Toc155677067"/>
      <w:r w:rsidRPr="000064EC">
        <w:rPr>
          <w:rFonts w:asciiTheme="minorEastAsia" w:eastAsiaTheme="minorEastAsia" w:hAnsiTheme="minorEastAsia" w:cs="仿宋" w:hint="eastAsia"/>
          <w:b/>
          <w:sz w:val="24"/>
        </w:rPr>
        <w:t>3.</w:t>
      </w:r>
      <w:r w:rsidRPr="000064EC">
        <w:rPr>
          <w:rFonts w:asciiTheme="minorEastAsia" w:eastAsiaTheme="minorEastAsia" w:hAnsiTheme="minorEastAsia" w:cs="仿宋"/>
          <w:b/>
          <w:sz w:val="24"/>
        </w:rPr>
        <w:t>2</w:t>
      </w:r>
      <w:r w:rsidRPr="000064EC">
        <w:rPr>
          <w:rFonts w:asciiTheme="minorEastAsia" w:eastAsiaTheme="minorEastAsia" w:hAnsiTheme="minorEastAsia" w:cs="仿宋" w:hint="eastAsia"/>
          <w:b/>
          <w:sz w:val="24"/>
        </w:rPr>
        <w:t xml:space="preserve"> 产品收益表现</w:t>
      </w:r>
      <w:bookmarkEnd w:id="7"/>
    </w:p>
    <w:tbl>
      <w:tblPr>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55"/>
        <w:gridCol w:w="1235"/>
        <w:gridCol w:w="1315"/>
        <w:gridCol w:w="1212"/>
        <w:gridCol w:w="1800"/>
      </w:tblGrid>
      <w:tr>
        <w:tblPrEx>
          <w:tblW w:w="91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产品名称</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一个月年化收益率</w:t>
            </w:r>
            <w:r w:rsidRPr="000064EC">
              <w:rPr>
                <w:rFonts w:asciiTheme="minorEastAsia" w:eastAsiaTheme="minorEastAsia" w:hAnsiTheme="minorEastAsia" w:cs="仿宋" w:hint="eastAsia"/>
                <w:kern w:val="0"/>
                <w:sz w:val="24"/>
              </w:rPr>
              <w:t>（%）</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三个月年化收益率</w:t>
            </w:r>
            <w:r w:rsidRPr="000064EC">
              <w:rPr>
                <w:rFonts w:asciiTheme="minorEastAsia" w:eastAsiaTheme="minorEastAsia" w:hAnsiTheme="minorEastAsia" w:cs="仿宋" w:hint="eastAsia"/>
                <w:kern w:val="0"/>
                <w:sz w:val="24"/>
              </w:rPr>
              <w:t>（%）</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w:t>
            </w:r>
            <w:r w:rsidRPr="000064EC">
              <w:rPr>
                <w:rFonts w:asciiTheme="minorEastAsia" w:eastAsiaTheme="minorEastAsia" w:hAnsiTheme="minorEastAsia" w:cs="仿宋" w:hint="eastAsia"/>
                <w:color w:val="000000"/>
                <w:kern w:val="0"/>
                <w:sz w:val="24"/>
              </w:rPr>
              <w:t>六个月年化收益率</w:t>
            </w:r>
            <w:r w:rsidRPr="000064EC">
              <w:rPr>
                <w:rFonts w:asciiTheme="minorEastAsia" w:eastAsiaTheme="minorEastAsia" w:hAnsiTheme="minorEastAsia" w:cs="仿宋" w:hint="eastAsia"/>
                <w:kern w:val="0"/>
                <w:sz w:val="24"/>
              </w:rPr>
              <w:t>（%）</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color w:val="000000"/>
                <w:kern w:val="0"/>
                <w:sz w:val="24"/>
              </w:rPr>
            </w:pPr>
            <w:r w:rsidRPr="000064EC">
              <w:rPr>
                <w:rFonts w:asciiTheme="minorEastAsia" w:eastAsiaTheme="minorEastAsia" w:hAnsiTheme="minorEastAsia" w:cs="仿宋" w:hint="eastAsia"/>
                <w:color w:val="000000"/>
                <w:kern w:val="0"/>
                <w:sz w:val="24"/>
              </w:rPr>
              <w:t>近一年年化收益率</w:t>
            </w:r>
            <w:r w:rsidRPr="000064EC">
              <w:rPr>
                <w:rFonts w:asciiTheme="minorEastAsia" w:eastAsiaTheme="minorEastAsia" w:hAnsiTheme="minorEastAsia" w:cs="仿宋" w:hint="eastAsia"/>
                <w:kern w:val="0"/>
                <w:sz w:val="24"/>
              </w:rPr>
              <w:t>（%）</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color w:val="000000"/>
                <w:kern w:val="0"/>
                <w:sz w:val="24"/>
              </w:rPr>
              <w:t>成立</w:t>
            </w:r>
            <w:r w:rsidRPr="000064EC">
              <w:rPr>
                <w:rFonts w:asciiTheme="minorEastAsia" w:eastAsiaTheme="minorEastAsia" w:hAnsiTheme="minorEastAsia" w:cs="仿宋" w:hint="eastAsia"/>
                <w:color w:val="000000"/>
                <w:kern w:val="0"/>
                <w:sz w:val="24"/>
              </w:rPr>
              <w:t>以来年化收益率</w:t>
            </w:r>
            <w:r w:rsidRPr="000064EC">
              <w:rPr>
                <w:rFonts w:asciiTheme="minorEastAsia" w:eastAsiaTheme="minorEastAsia" w:hAnsiTheme="minorEastAsia" w:cs="仿宋" w:hint="eastAsia"/>
                <w:kern w:val="0"/>
                <w:sz w:val="24"/>
              </w:rPr>
              <w:t>（%）</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丰收天添益1期A款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1.81</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1.55</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2.26</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2.18</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2.23</w:t>
            </w:r>
          </w:p>
        </w:tc>
      </w:tr>
      <w:tr>
        <w:tblPrEx>
          <w:tblW w:w="9133"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Style w:val="a1"/>
                <w:rFonts w:asciiTheme="minorEastAsia" w:eastAsiaTheme="minorEastAsia" w:hAnsiTheme="minorEastAsia" w:cs="仿宋"/>
                <w:sz w:val="24"/>
              </w:rPr>
            </w:pPr>
            <w:r w:rsidRPr="000064EC">
              <w:rPr>
                <w:rStyle w:val="a1"/>
                <w:rFonts w:asciiTheme="minorEastAsia" w:eastAsiaTheme="minorEastAsia" w:hAnsiTheme="minorEastAsia" w:cs="仿宋" w:hint="eastAsia"/>
                <w:sz w:val="24"/>
              </w:rPr>
              <w:t>丰收天添益1期B款</w:t>
            </w:r>
          </w:p>
        </w:tc>
        <w:tc>
          <w:tcPr>
            <w:tcW w:w="135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1.87</w:t>
            </w:r>
          </w:p>
        </w:tc>
        <w:tc>
          <w:tcPr>
            <w:tcW w:w="123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1.61</w:t>
            </w:r>
          </w:p>
        </w:tc>
        <w:tc>
          <w:tcPr>
            <w:tcW w:w="1315"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2.30</w:t>
            </w:r>
          </w:p>
        </w:tc>
        <w:tc>
          <w:tcPr>
            <w:tcW w:w="1212"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2.13</w:t>
            </w:r>
          </w:p>
        </w:tc>
        <w:tc>
          <w:tcPr>
            <w:tcW w:w="1800" w:type="dxa"/>
            <w:tcBorders>
              <w:top w:val="single" w:sz="4" w:space="0" w:color="auto"/>
              <w:left w:val="single" w:sz="4" w:space="0" w:color="auto"/>
              <w:bottom w:val="single" w:sz="4" w:space="0" w:color="auto"/>
              <w:right w:val="single" w:sz="4" w:space="0" w:color="auto"/>
            </w:tcBorders>
            <w:vAlign w:val="center"/>
          </w:tcPr>
          <w:p w:rsidR="0014030B" w:rsidRPr="000064EC">
            <w:pPr>
              <w:widowControl/>
              <w:adjustRightInd w:val="0"/>
              <w:snapToGrid w:val="0"/>
              <w:jc w:val="center"/>
              <w:rPr>
                <w:rFonts w:asciiTheme="minorEastAsia" w:eastAsiaTheme="minorEastAsia" w:hAnsiTheme="minorEastAsia"/>
              </w:rPr>
            </w:pPr>
            <w:r w:rsidRPr="000064EC">
              <w:rPr>
                <w:rFonts w:asciiTheme="minorEastAsia" w:eastAsiaTheme="minorEastAsia" w:hAnsiTheme="minorEastAsia" w:cs="仿宋" w:hint="eastAsia"/>
                <w:sz w:val="24"/>
              </w:rPr>
              <w:t>2.17</w:t>
            </w:r>
          </w:p>
        </w:tc>
      </w:tr>
    </w:tbl>
    <w:p w:rsidR="0014030B"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cs="仿宋" w:hint="eastAsia"/>
          <w:sz w:val="24"/>
        </w:rPr>
        <w:t>折合年化收益率</w:t>
      </w:r>
      <w:r w:rsidRPr="000064EC">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0064EC">
        <w:rPr>
          <w:rFonts w:asciiTheme="minorEastAsia" w:eastAsiaTheme="minorEastAsia" w:hAnsiTheme="minorEastAsia" w:cs="仿宋" w:hint="eastAsia"/>
          <w:sz w:val="24"/>
        </w:rPr>
        <w:br/>
        <w:t>*产品过往业绩相关数据已经产品托管人复核；</w:t>
      </w:r>
    </w:p>
    <w:p w:rsidR="00701460" w:rsidRPr="000064EC">
      <w:pPr>
        <w:adjustRightInd w:val="0"/>
        <w:snapToGrid w:val="0"/>
        <w:spacing w:line="360" w:lineRule="exact"/>
        <w:rPr>
          <w:rFonts w:asciiTheme="minorEastAsia" w:eastAsiaTheme="minorEastAsia" w:hAnsiTheme="minorEastAsia" w:cs="仿宋"/>
          <w:sz w:val="24"/>
        </w:rPr>
      </w:pPr>
      <w:r w:rsidRPr="000064EC">
        <w:rPr>
          <w:rFonts w:asciiTheme="minorEastAsia" w:eastAsiaTheme="minorEastAsia" w:hAnsiTheme="minorEastAsia" w:cs="仿宋" w:hint="eastAsia"/>
          <w:sz w:val="24"/>
        </w:rPr>
        <w:t>*</w:t>
      </w:r>
      <w:r w:rsidRPr="000064EC">
        <w:rPr>
          <w:rFonts w:asciiTheme="minorEastAsia" w:eastAsiaTheme="minorEastAsia" w:hAnsiTheme="minorEastAsia" w:hint="eastAsia"/>
          <w:sz w:val="24"/>
        </w:rPr>
        <w:t>理财产品</w:t>
      </w:r>
      <w:r w:rsidRPr="000064EC" w:rsidR="001F0D85">
        <w:rPr>
          <w:rFonts w:asciiTheme="minorEastAsia" w:eastAsiaTheme="minorEastAsia" w:hAnsiTheme="minorEastAsia" w:hint="eastAsia"/>
          <w:sz w:val="24"/>
        </w:rPr>
        <w:t>过往业绩不代表其未来的表现及收益，理财非存款，市场有风险，投资须</w:t>
      </w:r>
      <w:r w:rsidRPr="000064EC">
        <w:rPr>
          <w:rFonts w:asciiTheme="minorEastAsia" w:eastAsiaTheme="minorEastAsia" w:hAnsiTheme="minorEastAsia" w:hint="eastAsia"/>
          <w:sz w:val="24"/>
        </w:rPr>
        <w:t>谨慎。</w:t>
      </w:r>
    </w:p>
    <w:p w:rsidR="0014030B" w:rsidRPr="000064EC">
      <w:pPr>
        <w:adjustRightInd w:val="0"/>
        <w:snapToGrid w:val="0"/>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8" w:name="_Toc829383023"/>
      <w:r w:rsidRPr="000064EC">
        <w:rPr>
          <w:rFonts w:asciiTheme="minorEastAsia" w:eastAsiaTheme="minorEastAsia" w:hAnsiTheme="minorEastAsia" w:cs="仿宋" w:hint="eastAsia"/>
          <w:sz w:val="24"/>
        </w:rPr>
        <w:t>§4  投资组合报告</w:t>
      </w:r>
      <w:bookmarkEnd w:id="8"/>
    </w:p>
    <w:p w:rsidR="0014030B" w:rsidRPr="000064EC">
      <w:pPr>
        <w:adjustRightInd w:val="0"/>
        <w:snapToGrid w:val="0"/>
        <w:spacing w:line="440" w:lineRule="exact"/>
        <w:outlineLvl w:val="2"/>
        <w:rPr>
          <w:rFonts w:asciiTheme="minorEastAsia" w:eastAsiaTheme="minorEastAsia" w:hAnsiTheme="minorEastAsia" w:cs="仿宋"/>
          <w:b/>
          <w:sz w:val="24"/>
        </w:rPr>
      </w:pPr>
      <w:bookmarkStart w:id="9" w:name="_Toc124114884"/>
      <w:r w:rsidRPr="000064EC">
        <w:rPr>
          <w:rFonts w:asciiTheme="minorEastAsia" w:eastAsiaTheme="minorEastAsia" w:hAnsiTheme="minorEastAsia" w:cs="仿宋" w:hint="eastAsia"/>
          <w:b/>
          <w:sz w:val="24"/>
        </w:rPr>
        <w:t>4.1 报告期内产品投资策略回顾</w:t>
      </w:r>
      <w:bookmarkEnd w:id="9"/>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三季度以来，受到商品和权益强势行情、机构行为波动的先后冲击影响，债券收益率整体呈震荡上行趋势。利率债收益率在7月和8月以股债跷跷板为主要逻辑，叠加“反内卷交易”，导致调整幅度较大；9月，“公募基金费率新规”影响机构行为，债市延续震荡上行。信用债收益率在三季度同样持续震荡上行，长端大于短端，高信用等级大于低信用等级，二永债大于普信债。信用利差方面，中短久期品种压缩，长久期及超长久期品种走阔。</w:t>
        <w:cr/>
        <w:t xml:space="preserve">    总体来看，三季度债市交易的几条主线逻辑分别是：（1）“反内卷交易”下权益和商品大涨，市场存在“股债跷跷板”，风险偏好影响债市；（2）债券增收增值税变化产生扰动；（3）公募基金费率新规带来的预防性赎回；（4）9月以来，美联储降息，叠加大行提升利率债配置等因素加强了市场对于“宽货币”以及央行买债的预期，债市进入多空对峙的震荡状态。在基本面偏弱、融资需求偏弱的格局仍未发生根本变化的当下，三季度的债市行情受风险偏好、机构行为等影响偏多，后续还需要关注围绕“十五五规划”影响下的政策变化、市场风险偏好变化、海外变化和机构行为。</w:t>
        <w:cr/>
        <w:t xml:space="preserve">    从收益率来看，截至9月30日，10年国债收益率1.8605%，较6月末上行21.36bp；1年期商业银行同业存单收益率1.6650%，较6月末上行3.76bp；3年期AA+城投债收益率2.1218%，较6月末上行22.19bp，3年期AAA商业银行二级资本债收益率2.0807%，较6月末上行24.50bp。本产品主要配置固收类资产，债券部分以信用债为主，久期适中偏短，在收益率上行行情下波动较小，产品净值整体保持了较好的表现。</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0" w:name="_Toc792234151"/>
      <w:r w:rsidRPr="000064EC">
        <w:rPr>
          <w:rFonts w:asciiTheme="minorEastAsia" w:eastAsiaTheme="minorEastAsia" w:hAnsiTheme="minorEastAsia" w:cs="仿宋" w:hint="eastAsia"/>
          <w:b/>
          <w:sz w:val="24"/>
        </w:rPr>
        <w:t>4.2产品未来展望</w:t>
      </w:r>
      <w:bookmarkEnd w:id="10"/>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展望2025年四季度，或将延续震荡格局，收益率持续大幅上行的概率较小。利多方面，目前中长久期品种收益率普遍已达高位，前期的各种政策影响已经被充分定价，票息策略的性价比有所显现，债市多头情绪升高。市场目前基于美联储降息，对后续“宽货币”有预期，不过仍需警惕美国基本面数据的变化以及中美会谈的后续预期变化。利空方面，需关注“十五五规划”可能带来的市场对基本面预期的改善，和政策力度加码的预期和可能；若股市依然强劲，债市可能面临一定压力。下一步债市的方向可能围绕央行买债、债基赎回费率调整、机构行为等因素展开博弈，叠加四季度末各机构博弈心态可能增加，需警惕波动加大的可能。此外，四季度在税期、跨月以及MLF到期等时间点，还需注意资金面不确定性。总体上来说，预期四季度债券收益率维持震荡态势，策略上，信用债保持一定仓位，适时把握利率债等交易性资产的阶段性交易机会。</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1" w:name="_Toc680764457"/>
      <w:r w:rsidRPr="000064EC">
        <w:rPr>
          <w:rFonts w:asciiTheme="minorEastAsia" w:eastAsiaTheme="minorEastAsia" w:hAnsiTheme="minorEastAsia" w:cs="仿宋" w:hint="eastAsia"/>
          <w:b/>
          <w:sz w:val="24"/>
        </w:rPr>
        <w:t>4.3投资组合的流动性风险分析</w:t>
      </w:r>
      <w:bookmarkEnd w:id="11"/>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投资于货币市场工具、债券类资产及资管计划。产品所投资的货币市场工具及债券资产流动性状况良好，正常情况下能够及时变现资产，筹集资金，满足本产品的投资者赎回需求或其他支付要求。产品所投资资管计划运作规范，能够通过申赎安排满足本产品流动性需求。</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14030B" w:rsidRPr="000064EC">
      <w:pPr>
        <w:adjustRightInd w:val="0"/>
        <w:snapToGrid w:val="0"/>
        <w:spacing w:line="440" w:lineRule="exact"/>
        <w:outlineLvl w:val="2"/>
        <w:rPr>
          <w:rFonts w:asciiTheme="minorEastAsia" w:eastAsiaTheme="minorEastAsia" w:hAnsiTheme="minorEastAsia" w:cs="仿宋"/>
          <w:b/>
          <w:sz w:val="24"/>
        </w:rPr>
      </w:pPr>
      <w:bookmarkStart w:id="12" w:name="_Toc1962841230"/>
      <w:r w:rsidRPr="000064EC">
        <w:rPr>
          <w:rFonts w:asciiTheme="minorEastAsia" w:eastAsiaTheme="minorEastAsia" w:hAnsiTheme="minorEastAsia" w:cs="仿宋" w:hint="eastAsia"/>
          <w:b/>
          <w:sz w:val="24"/>
        </w:rPr>
        <w:t>4.4 报告期末投资组合分类</w:t>
      </w:r>
      <w:bookmarkEnd w:id="12"/>
    </w:p>
    <w:tbl>
      <w:tblPr>
        <w:tblW w:w="9024" w:type="dxa"/>
        <w:tblInd w:w="-5" w:type="dxa"/>
        <w:tblLayout w:type="fixed"/>
        <w:tblCellMar>
          <w:left w:w="0" w:type="dxa"/>
          <w:right w:w="0" w:type="dxa"/>
        </w:tblCellMar>
        <w:tblLook w:val="04A0"/>
      </w:tblPr>
      <w:tblGrid>
        <w:gridCol w:w="406"/>
        <w:gridCol w:w="4082"/>
        <w:gridCol w:w="2268"/>
        <w:gridCol w:w="2268"/>
      </w:tblGrid>
      <w:tr w:rsidTr="009F3208">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14030B" w:rsidRPr="000064EC" w:rsidP="009F3208">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w:t>
            </w:r>
            <w:r w:rsidRPr="000064EC">
              <w:rPr>
                <w:rFonts w:asciiTheme="minorEastAsia" w:eastAsiaTheme="minorEastAsia" w:hAnsiTheme="minorEastAsia" w:cs="仿宋" w:hint="eastAsia"/>
                <w:sz w:val="24"/>
              </w:rPr>
              <w:t>穿透前占总</w:t>
            </w:r>
            <w:r w:rsidRPr="000064EC">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期末穿透后占总资产比例（％）</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15.82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79.72</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0.28</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0.75</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4.10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1.62</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15.16</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0.75</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81.81</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0.00</w:t>
            </w:r>
          </w:p>
        </w:tc>
      </w:tr>
      <w:tr>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3" w:name="_Toc1258005047"/>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5</w:t>
      </w:r>
      <w:r w:rsidRPr="000064EC">
        <w:rPr>
          <w:rFonts w:asciiTheme="minorEastAsia" w:eastAsiaTheme="minorEastAsia" w:hAnsiTheme="minorEastAsia" w:cs="仿宋" w:hint="eastAsia"/>
          <w:b/>
          <w:sz w:val="24"/>
        </w:rPr>
        <w:t>报告期末投资前十名资产明细</w:t>
      </w:r>
      <w:bookmarkEnd w:id="13"/>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浙商银行股份有限公司 1.85 2025/02/13 4099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100,030,833.34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7.87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54,426,384.87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4.28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他行存款(P27M-000306)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46,965,841.28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3.69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他行存款(XT2024-000296)</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39,051,844.41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3.07</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他行存款(XT2024-000069)</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33,191,731.48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2.61</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他行存款(P27M-000467)</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32,780,935.52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2.58</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存放同业 浙商银行股份有限公司 2.00 2025/02/19 4128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30,373,334.08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2.39</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他行存款(P27M-000101)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29,927,241.53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2.35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他行存款(P27M-000468)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27,317,446.26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2.15</w:t>
            </w:r>
          </w:p>
        </w:tc>
      </w:tr>
      <w:tr>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他行存款(P27M-000253)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27,246,902.54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2.14</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4" w:name="_Toc1314320214"/>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6</w:t>
      </w:r>
      <w:r w:rsidRPr="000064EC">
        <w:rPr>
          <w:rFonts w:asciiTheme="minorEastAsia" w:eastAsiaTheme="minorEastAsia" w:hAnsiTheme="minorEastAsia" w:cs="仿宋" w:hint="eastAsia"/>
          <w:b/>
          <w:sz w:val="24"/>
        </w:rPr>
        <w:t>报告期融资情况</w:t>
      </w:r>
      <w:bookmarkEnd w:id="14"/>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占资产净值比例（％）</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r>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kern w:val="0"/>
                <w:sz w:val="24"/>
              </w:rPr>
            </w:pPr>
            <w:r w:rsidRPr="000064EC">
              <w:rPr>
                <w:rFonts w:asciiTheme="minorEastAsia" w:eastAsiaTheme="minorEastAsia" w:hAnsiTheme="minorEastAsia" w:cs="仿宋" w:hint="eastAsia"/>
                <w:kern w:val="0"/>
                <w:sz w:val="24"/>
              </w:rPr>
              <w:t>0.00</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15" w:name="_Toc481074947"/>
      <w:bookmarkStart w:id="16" w:name="_Toc763043656"/>
      <w:r w:rsidRPr="000064EC">
        <w:rPr>
          <w:rFonts w:asciiTheme="minorEastAsia" w:eastAsiaTheme="minorEastAsia" w:hAnsiTheme="minorEastAsia" w:cs="仿宋" w:hint="eastAsia"/>
          <w:b/>
          <w:sz w:val="24"/>
        </w:rPr>
        <w:t>4.</w:t>
      </w:r>
      <w:r w:rsidRPr="000064EC">
        <w:rPr>
          <w:rFonts w:asciiTheme="minorEastAsia" w:eastAsiaTheme="minorEastAsia" w:hAnsiTheme="minorEastAsia" w:cs="仿宋"/>
          <w:b/>
          <w:sz w:val="24"/>
        </w:rPr>
        <w:t>7</w:t>
      </w:r>
      <w:r w:rsidRPr="000064EC">
        <w:rPr>
          <w:rFonts w:asciiTheme="minorEastAsia" w:eastAsiaTheme="minorEastAsia" w:hAnsiTheme="minorEastAsia" w:cs="仿宋" w:hint="eastAsia"/>
          <w:b/>
          <w:sz w:val="24"/>
        </w:rPr>
        <w:t>报告期末投资非标准化债权资产</w:t>
      </w:r>
      <w:bookmarkEnd w:id="15"/>
      <w:r w:rsidRPr="000064EC">
        <w:rPr>
          <w:rFonts w:asciiTheme="minorEastAsia" w:eastAsiaTheme="minorEastAsia" w:hAnsiTheme="minorEastAsia" w:cs="仿宋" w:hint="eastAsia"/>
          <w:b/>
          <w:sz w:val="24"/>
        </w:rPr>
        <w:t>情况</w:t>
      </w:r>
      <w:bookmarkEnd w:id="16"/>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color w:val="FF0000"/>
                <w:sz w:val="24"/>
              </w:rPr>
            </w:pPr>
            <w:r w:rsidRPr="000064EC">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14030B" w:rsidRPr="000064EC">
            <w:pPr>
              <w:adjustRightInd w:val="0"/>
              <w:snapToGrid w:val="0"/>
              <w:jc w:val="center"/>
              <w:rPr>
                <w:rFonts w:asciiTheme="minorEastAsia" w:eastAsiaTheme="minorEastAsia" w:hAnsiTheme="minorEastAsia" w:cs="仿宋"/>
                <w:sz w:val="24"/>
              </w:rPr>
            </w:pPr>
            <w:r w:rsidRPr="000064EC">
              <w:rPr>
                <w:rFonts w:asciiTheme="minorEastAsia" w:eastAsiaTheme="minorEastAsia" w:hAnsiTheme="minorEastAsia" w:cs="仿宋" w:hint="eastAsia"/>
                <w:sz w:val="24"/>
              </w:rPr>
              <w:t>风险状况</w:t>
            </w:r>
          </w:p>
        </w:tc>
      </w:tr>
    </w:tbl>
    <w:p w:rsidR="0014030B" w:rsidRPr="000064EC">
      <w:pPr>
        <w:adjustRightInd w:val="0"/>
        <w:snapToGrid w:val="0"/>
        <w:spacing w:line="380" w:lineRule="exact"/>
        <w:rPr>
          <w:rFonts w:asciiTheme="minorEastAsia" w:eastAsiaTheme="minorEastAsia" w:hAnsiTheme="minorEastAsia" w:cs="仿宋"/>
          <w:color w:val="0000FF"/>
          <w:kern w:val="0"/>
          <w:sz w:val="24"/>
          <w:highlight w:val="yellow"/>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7" w:name="_Toc1849870155"/>
      <w:r w:rsidRPr="000064EC">
        <w:rPr>
          <w:rFonts w:asciiTheme="minorEastAsia" w:eastAsiaTheme="minorEastAsia" w:hAnsiTheme="minorEastAsia" w:cs="仿宋" w:hint="eastAsia"/>
          <w:sz w:val="24"/>
        </w:rPr>
        <w:t>§5 产品份额变动</w:t>
      </w:r>
      <w:bookmarkEnd w:id="17"/>
    </w:p>
    <w:p w:rsidR="0014030B" w:rsidRPr="000064EC">
      <w:pPr>
        <w:adjustRightInd w:val="0"/>
        <w:snapToGrid w:val="0"/>
        <w:spacing w:line="440" w:lineRule="exact"/>
        <w:ind w:firstLine="6240" w:firstLineChars="260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1,225,616,516.80</w:t>
            </w:r>
          </w:p>
        </w:tc>
      </w:tr>
      <w:tr>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14030B" w:rsidRPr="000064EC">
            <w:pPr>
              <w:adjustRightInd w:val="0"/>
              <w:snapToGrid w:val="0"/>
              <w:jc w:val="righ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1,242,274,068.99</w:t>
            </w:r>
          </w:p>
        </w:tc>
      </w:tr>
    </w:tbl>
    <w:p w:rsidR="0014030B" w:rsidRPr="000064EC">
      <w:pPr>
        <w:widowControl/>
        <w:adjustRightInd w:val="0"/>
        <w:snapToGrid w:val="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8" w:name="_Toc1646937466"/>
      <w:r w:rsidRPr="000064EC">
        <w:rPr>
          <w:rFonts w:asciiTheme="minorEastAsia" w:eastAsiaTheme="minorEastAsia" w:hAnsiTheme="minorEastAsia" w:cs="仿宋" w:hint="eastAsia"/>
          <w:sz w:val="24"/>
        </w:rPr>
        <w:t>§6 托管人报告</w:t>
      </w:r>
      <w:bookmarkEnd w:id="18"/>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本报告期内，</w:t>
      </w:r>
      <w:r>
        <w:rPr>
          <w:sz w:val="24"/>
        </w:rPr>
        <w:t>杭州银行股份有限公司</w:t>
      </w:r>
      <w:r w:rsidRPr="000064EC">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14030B" w:rsidRPr="000064EC">
      <w:pPr>
        <w:adjustRightInd w:val="0"/>
        <w:snapToGrid w:val="0"/>
        <w:spacing w:line="420" w:lineRule="exact"/>
        <w:ind w:firstLine="480" w:firstLineChars="200"/>
        <w:rPr>
          <w:rFonts w:asciiTheme="minorEastAsia" w:eastAsiaTheme="minorEastAsia" w:hAnsiTheme="minorEastAsia" w:cs="仿宋"/>
          <w:sz w:val="24"/>
        </w:rPr>
      </w:pPr>
      <w:r w:rsidRPr="000064EC">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14030B" w:rsidRPr="000064EC">
      <w:pPr>
        <w:adjustRightInd w:val="0"/>
        <w:snapToGrid w:val="0"/>
        <w:rPr>
          <w:rFonts w:asciiTheme="minorEastAsia" w:eastAsiaTheme="minorEastAsia" w:hAnsiTheme="minorEastAsia" w:cs="仿宋"/>
          <w:bCs/>
          <w:sz w:val="24"/>
        </w:rPr>
      </w:pPr>
    </w:p>
    <w:p w:rsidR="0014030B" w:rsidRPr="000064EC">
      <w:pPr>
        <w:pStyle w:val="Heading2"/>
        <w:adjustRightInd w:val="0"/>
        <w:snapToGrid w:val="0"/>
        <w:spacing w:line="560" w:lineRule="exact"/>
        <w:jc w:val="center"/>
        <w:rPr>
          <w:rFonts w:asciiTheme="minorEastAsia" w:eastAsiaTheme="minorEastAsia" w:hAnsiTheme="minorEastAsia" w:cs="仿宋"/>
          <w:sz w:val="24"/>
        </w:rPr>
      </w:pPr>
      <w:bookmarkStart w:id="19" w:name="_Toc1161264879"/>
      <w:r w:rsidRPr="000064EC">
        <w:rPr>
          <w:rFonts w:asciiTheme="minorEastAsia" w:eastAsiaTheme="minorEastAsia" w:hAnsiTheme="minorEastAsia" w:cs="仿宋" w:hint="eastAsia"/>
          <w:sz w:val="24"/>
        </w:rPr>
        <w:t>§7 报告期内关联交易情况</w:t>
      </w:r>
      <w:bookmarkEnd w:id="19"/>
    </w:p>
    <w:p w:rsidR="0014030B" w:rsidRPr="000064EC">
      <w:pPr>
        <w:adjustRightInd w:val="0"/>
        <w:snapToGrid w:val="0"/>
        <w:spacing w:line="440" w:lineRule="exact"/>
        <w:outlineLvl w:val="2"/>
        <w:rPr>
          <w:rFonts w:asciiTheme="minorEastAsia" w:eastAsiaTheme="minorEastAsia" w:hAnsiTheme="minorEastAsia" w:cs="仿宋"/>
          <w:b/>
          <w:sz w:val="24"/>
        </w:rPr>
      </w:pPr>
      <w:bookmarkStart w:id="20" w:name="_Toc1047437417"/>
      <w:r w:rsidRPr="000064EC">
        <w:rPr>
          <w:rFonts w:asciiTheme="minorEastAsia" w:eastAsiaTheme="minorEastAsia" w:hAnsiTheme="minorEastAsia" w:cs="仿宋" w:hint="eastAsia"/>
          <w:b/>
          <w:sz w:val="24"/>
        </w:rPr>
        <w:t>7.1 产品投资于关联</w:t>
      </w:r>
      <w:r w:rsidRPr="000064EC">
        <w:rPr>
          <w:rFonts w:asciiTheme="minorEastAsia" w:eastAsiaTheme="minorEastAsia" w:hAnsiTheme="minorEastAsia" w:cs="仿宋" w:hint="eastAsia"/>
          <w:b/>
          <w:sz w:val="24"/>
        </w:rPr>
        <w:t>方发行</w:t>
      </w:r>
      <w:r w:rsidRPr="000064EC">
        <w:rPr>
          <w:rFonts w:asciiTheme="minorEastAsia" w:eastAsiaTheme="minorEastAsia" w:hAnsiTheme="minorEastAsia" w:cs="仿宋" w:hint="eastAsia"/>
          <w:b/>
          <w:sz w:val="24"/>
        </w:rPr>
        <w:t>或承销的证券、资产管理产品，或其他关联交易</w:t>
      </w:r>
      <w:bookmarkEnd w:id="20"/>
    </w:p>
    <w:p w:rsidR="0014030B" w:rsidRPr="000064EC">
      <w:pPr>
        <w:adjustRightInd w:val="0"/>
        <w:snapToGrid w:val="0"/>
        <w:spacing w:line="440" w:lineRule="exact"/>
        <w:ind w:firstLine="6240" w:firstLineChars="2600"/>
        <w:jc w:val="right"/>
        <w:rPr>
          <w:rFonts w:asciiTheme="minorEastAsia" w:eastAsiaTheme="minorEastAsia" w:hAnsiTheme="minorEastAsia" w:cs="仿宋"/>
          <w:b/>
          <w:sz w:val="24"/>
        </w:rPr>
      </w:pPr>
      <w:r w:rsidRPr="000064EC">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tblPrEx>
          <w:tblW w:w="8994" w:type="dxa"/>
          <w:tblInd w:w="67" w:type="dxa"/>
          <w:tblLayout w:type="fixed"/>
          <w:tblLook w:val="04A0"/>
        </w:tblPrEx>
        <w:trPr>
          <w:trHeight w:val="90"/>
        </w:trPr>
        <w:tc>
          <w:tcPr>
            <w:tcW w:w="63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16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140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资产名称</w:t>
            </w:r>
          </w:p>
        </w:tc>
        <w:tc>
          <w:tcPr>
            <w:tcW w:w="791"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资产类型</w:t>
            </w:r>
          </w:p>
        </w:tc>
        <w:tc>
          <w:tcPr>
            <w:tcW w:w="75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交易类型</w:t>
            </w:r>
          </w:p>
        </w:tc>
        <w:tc>
          <w:tcPr>
            <w:tcW w:w="1904"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sidRPr="000064EC">
              <w:rPr>
                <w:rFonts w:asciiTheme="minorEastAsia" w:eastAsiaTheme="minorEastAsia" w:hAnsiTheme="minorEastAsia" w:cs="仿宋" w:hint="eastAsia"/>
                <w:sz w:val="24"/>
              </w:rPr>
              <w:t>元</w:t>
            </w:r>
            <w:r w:rsidRPr="000064EC">
              <w:rPr>
                <w:rFonts w:asciiTheme="minorEastAsia" w:eastAsiaTheme="minorEastAsia" w:hAnsiTheme="minorEastAsia" w:cs="仿宋" w:hint="eastAsia"/>
                <w:color w:val="000000"/>
                <w:kern w:val="0"/>
                <w:sz w:val="24"/>
              </w:rPr>
              <w:t>）</w:t>
            </w:r>
          </w:p>
        </w:tc>
        <w:tc>
          <w:tcPr>
            <w:tcW w:w="1905"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份额</w:t>
            </w:r>
          </w:p>
        </w:tc>
      </w:tr>
    </w:tbl>
    <w:p w:rsidR="0014030B" w:rsidRPr="000064EC">
      <w:pPr>
        <w:adjustRightInd w:val="0"/>
        <w:snapToGrid w:val="0"/>
        <w:spacing w:line="440" w:lineRule="exact"/>
        <w:outlineLvl w:val="2"/>
        <w:rPr>
          <w:rFonts w:asciiTheme="minorEastAsia" w:eastAsiaTheme="minorEastAsia" w:hAnsiTheme="minorEastAsia" w:cs="仿宋"/>
          <w:b/>
          <w:sz w:val="24"/>
        </w:rPr>
      </w:pPr>
      <w:bookmarkStart w:id="21" w:name="_Toc1357213060"/>
      <w:r w:rsidRPr="000064EC">
        <w:rPr>
          <w:rFonts w:asciiTheme="minorEastAsia" w:eastAsiaTheme="minorEastAsia" w:hAnsiTheme="minorEastAsia" w:cs="仿宋" w:hint="eastAsia"/>
          <w:b/>
          <w:sz w:val="24"/>
        </w:rPr>
        <w:t>7.2 产品向关联方支付的费用</w:t>
      </w:r>
      <w:bookmarkEnd w:id="21"/>
    </w:p>
    <w:tbl>
      <w:tblPr>
        <w:tblStyle w:val="TableGrid"/>
        <w:tblW w:w="8994" w:type="dxa"/>
        <w:tblInd w:w="67" w:type="dxa"/>
        <w:tblLayout w:type="fixed"/>
        <w:tblLook w:val="04A0"/>
      </w:tblPr>
      <w:tblGrid>
        <w:gridCol w:w="694"/>
        <w:gridCol w:w="2958"/>
        <w:gridCol w:w="2202"/>
        <w:gridCol w:w="3140"/>
      </w:tblGrid>
      <w:tr>
        <w:tblPrEx>
          <w:tblW w:w="8994" w:type="dxa"/>
          <w:tblInd w:w="67" w:type="dxa"/>
          <w:tblLayout w:type="fixed"/>
          <w:tblLook w:val="04A0"/>
        </w:tblPrEx>
        <w:tc>
          <w:tcPr>
            <w:tcW w:w="694" w:type="dxa"/>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序号</w:t>
            </w:r>
          </w:p>
        </w:tc>
        <w:tc>
          <w:tcPr>
            <w:tcW w:w="2958"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关联方</w:t>
            </w:r>
          </w:p>
        </w:tc>
        <w:tc>
          <w:tcPr>
            <w:tcW w:w="2202"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费用类型</w:t>
            </w:r>
          </w:p>
        </w:tc>
        <w:tc>
          <w:tcPr>
            <w:tcW w:w="3140" w:type="dxa"/>
            <w:vAlign w:val="center"/>
          </w:tcPr>
          <w:p w:rsidR="0014030B" w:rsidRPr="000064EC">
            <w:pPr>
              <w:adjustRightInd w:val="0"/>
              <w:snapToGrid w:val="0"/>
              <w:jc w:val="center"/>
              <w:rPr>
                <w:rFonts w:asciiTheme="minorEastAsia" w:eastAsiaTheme="minorEastAsia" w:hAnsiTheme="minorEastAsia" w:cs="仿宋"/>
                <w:color w:val="000000"/>
                <w:kern w:val="0"/>
                <w:sz w:val="24"/>
                <w:szCs w:val="20"/>
              </w:rPr>
            </w:pPr>
            <w:r w:rsidRPr="000064EC">
              <w:rPr>
                <w:rFonts w:asciiTheme="minorEastAsia" w:eastAsiaTheme="minorEastAsia" w:hAnsiTheme="minorEastAsia" w:cs="仿宋" w:hint="eastAsia"/>
                <w:color w:val="000000"/>
                <w:kern w:val="0"/>
                <w:sz w:val="24"/>
              </w:rPr>
              <w:t>交易金额（</w:t>
            </w:r>
            <w:r>
              <w:rPr>
                <w:color w:val="000000"/>
                <w:sz w:val="24"/>
              </w:rPr>
              <w:t>元</w:t>
            </w:r>
            <w:r>
              <w:rPr>
                <w:color w:val="000000"/>
                <w:sz w:val="24"/>
              </w:rPr>
              <w:t>）</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pStyle w:val="Heading2"/>
        <w:adjustRightInd w:val="0"/>
        <w:snapToGrid w:val="0"/>
        <w:spacing w:line="560" w:lineRule="atLeast"/>
        <w:jc w:val="center"/>
        <w:rPr>
          <w:rFonts w:asciiTheme="minorEastAsia" w:eastAsiaTheme="minorEastAsia" w:hAnsiTheme="minorEastAsia" w:cs="仿宋"/>
          <w:bCs/>
          <w:sz w:val="24"/>
        </w:rPr>
      </w:pPr>
      <w:bookmarkStart w:id="22" w:name="_Toc108600986"/>
      <w:r w:rsidRPr="000064EC">
        <w:rPr>
          <w:rFonts w:asciiTheme="minorEastAsia" w:eastAsiaTheme="minorEastAsia" w:hAnsiTheme="minorEastAsia" w:cs="仿宋" w:hint="eastAsia"/>
          <w:bCs/>
          <w:sz w:val="24"/>
        </w:rPr>
        <w:t>§</w:t>
      </w:r>
      <w:r w:rsidRPr="000064EC">
        <w:rPr>
          <w:rFonts w:asciiTheme="minorEastAsia" w:eastAsiaTheme="minorEastAsia" w:hAnsiTheme="minorEastAsia" w:cs="仿宋"/>
          <w:bCs/>
          <w:sz w:val="24"/>
        </w:rPr>
        <w:t>8</w:t>
      </w:r>
      <w:r w:rsidRPr="000064EC">
        <w:rPr>
          <w:rFonts w:asciiTheme="minorEastAsia" w:eastAsiaTheme="minorEastAsia" w:hAnsiTheme="minorEastAsia" w:cs="仿宋" w:hint="eastAsia"/>
          <w:bCs/>
          <w:sz w:val="24"/>
        </w:rPr>
        <w:t xml:space="preserve"> 投资账户信息</w:t>
      </w:r>
      <w:bookmarkEnd w:id="22"/>
    </w:p>
    <w:p w:rsidR="0014030B" w:rsidRPr="000064EC">
      <w:pPr>
        <w:rPr>
          <w:rFonts w:asciiTheme="minorEastAsia" w:eastAsiaTheme="minorEastAsia" w:hAnsiTheme="minorEastAsia"/>
        </w:rPr>
      </w:pPr>
    </w:p>
    <w:tbl>
      <w:tblPr>
        <w:tblStyle w:val="TableGrid"/>
        <w:tblW w:w="8983" w:type="dxa"/>
        <w:tblInd w:w="65" w:type="dxa"/>
        <w:tblLayout w:type="fixed"/>
        <w:tblLook w:val="04A0"/>
      </w:tblPr>
      <w:tblGrid>
        <w:gridCol w:w="2487"/>
        <w:gridCol w:w="6496"/>
      </w:tblGrid>
      <w:tr>
        <w:tblPrEx>
          <w:tblW w:w="8983" w:type="dxa"/>
          <w:tblInd w:w="65" w:type="dxa"/>
          <w:tblLayout w:type="fixed"/>
          <w:tblLook w:val="04A0"/>
        </w:tblPrEx>
        <w:trPr>
          <w:trHeight w:val="216"/>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户名</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杭银理财丰收天添益开放式1期理财</w:t>
            </w:r>
          </w:p>
        </w:tc>
      </w:tr>
      <w:tr>
        <w:tblPrEx>
          <w:tblW w:w="8983" w:type="dxa"/>
          <w:tblInd w:w="65" w:type="dxa"/>
          <w:tblLayout w:type="fixed"/>
          <w:tblLook w:val="04A0"/>
        </w:tblPrEx>
        <w:trPr>
          <w:trHeight w:val="179"/>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账号</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3301040160015309811-8601</w:t>
            </w:r>
          </w:p>
        </w:tc>
      </w:tr>
      <w:tr>
        <w:tblPrEx>
          <w:tblW w:w="8983" w:type="dxa"/>
          <w:tblInd w:w="65" w:type="dxa"/>
          <w:tblLayout w:type="fixed"/>
          <w:tblLook w:val="04A0"/>
        </w:tblPrEx>
        <w:trPr>
          <w:trHeight w:val="163"/>
        </w:trPr>
        <w:tc>
          <w:tcPr>
            <w:tcW w:w="2487"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开户行</w:t>
            </w:r>
          </w:p>
        </w:tc>
        <w:tc>
          <w:tcPr>
            <w:tcW w:w="6496" w:type="dxa"/>
          </w:tcPr>
          <w:p w:rsidR="0014030B" w:rsidRPr="000064EC">
            <w:pPr>
              <w:widowControl/>
              <w:adjustRightInd w:val="0"/>
              <w:snapToGrid w:val="0"/>
              <w:jc w:val="left"/>
              <w:rPr>
                <w:rFonts w:asciiTheme="minorEastAsia" w:eastAsiaTheme="minorEastAsia" w:hAnsiTheme="minorEastAsia" w:cs="仿宋"/>
                <w:color w:val="000000"/>
                <w:sz w:val="24"/>
              </w:rPr>
            </w:pPr>
            <w:r w:rsidRPr="000064EC">
              <w:rPr>
                <w:rFonts w:asciiTheme="minorEastAsia" w:eastAsiaTheme="minorEastAsia" w:hAnsiTheme="minorEastAsia" w:cs="仿宋" w:hint="eastAsia"/>
                <w:color w:val="000000"/>
                <w:sz w:val="24"/>
              </w:rPr>
              <w:t>杭州银行总行营业部</w:t>
            </w:r>
          </w:p>
        </w:tc>
      </w:tr>
    </w:tbl>
    <w:p w:rsidR="0014030B" w:rsidRPr="000064EC">
      <w:pPr>
        <w:widowControl/>
        <w:adjustRightInd w:val="0"/>
        <w:snapToGrid w:val="0"/>
        <w:ind w:firstLine="480" w:firstLineChars="200"/>
        <w:jc w:val="left"/>
        <w:rPr>
          <w:rFonts w:asciiTheme="minorEastAsia" w:eastAsiaTheme="minorEastAsia" w:hAnsiTheme="minorEastAsia" w:cs="仿宋"/>
          <w:color w:val="404040"/>
          <w:kern w:val="0"/>
          <w:sz w:val="24"/>
        </w:rPr>
      </w:pPr>
    </w:p>
    <w:p w:rsidR="0014030B" w:rsidRPr="000064EC">
      <w:pPr>
        <w:ind w:left="360"/>
        <w:jc w:val="right"/>
        <w:rPr>
          <w:rFonts w:asciiTheme="minorEastAsia" w:eastAsiaTheme="minorEastAsia" w:hAnsiTheme="minorEastAsia" w:cs="仿宋"/>
          <w:sz w:val="24"/>
        </w:rPr>
      </w:pPr>
    </w:p>
    <w:p w:rsidR="0014030B" w:rsidRPr="000064EC">
      <w:pPr>
        <w:ind w:left="360"/>
        <w:jc w:val="right"/>
        <w:rPr>
          <w:rFonts w:asciiTheme="minorEastAsia" w:eastAsiaTheme="minorEastAsia" w:hAnsiTheme="minorEastAsia" w:cs="仿宋"/>
          <w:sz w:val="24"/>
        </w:rPr>
      </w:pPr>
      <w:r w:rsidRPr="000064EC">
        <w:rPr>
          <w:rFonts w:asciiTheme="minorEastAsia" w:eastAsiaTheme="minorEastAsia" w:hAnsiTheme="minorEastAsia" w:cs="仿宋" w:hint="eastAsia"/>
          <w:sz w:val="24"/>
        </w:rPr>
        <w:t>杭银理财</w:t>
      </w:r>
      <w:r w:rsidRPr="000064EC">
        <w:rPr>
          <w:rFonts w:asciiTheme="minorEastAsia" w:eastAsiaTheme="minorEastAsia" w:hAnsiTheme="minorEastAsia" w:cs="仿宋" w:hint="eastAsia"/>
          <w:sz w:val="24"/>
        </w:rPr>
        <w:t>有限责任公司</w:t>
      </w:r>
    </w:p>
    <w:p w:rsidR="0014030B" w:rsidRPr="000064EC">
      <w:pPr>
        <w:jc w:val="right"/>
        <w:rPr>
          <w:rFonts w:asciiTheme="minorEastAsia" w:eastAsiaTheme="minorEastAsia" w:hAnsiTheme="minorEastAsia"/>
          <w:sz w:val="24"/>
        </w:rPr>
      </w:pPr>
      <w:r w:rsidRPr="000064EC">
        <w:rPr>
          <w:rFonts w:asciiTheme="minorEastAsia" w:eastAsiaTheme="minorEastAsia" w:hAnsiTheme="minorEastAsia" w:cs="仿宋" w:hint="eastAsia"/>
          <w:sz w:val="24"/>
        </w:rPr>
        <w:t>2025年10月20日</w:t>
      </w:r>
    </w:p>
    <w:p w:rsidR="0014030B" w:rsidRPr="000064EC">
      <w:pPr>
        <w:rPr>
          <w:rFonts w:asciiTheme="minorEastAsia" w:eastAsiaTheme="minorEastAsia" w:hAnsiTheme="minorEastAsia"/>
        </w:rPr>
      </w:pPr>
    </w:p>
    <w:bookmarkEnd w:id="1"/>
    <w:p w:rsidR="0014030B" w:rsidRPr="000064EC">
      <w:pPr>
        <w:rPr>
          <w:rFonts w:asciiTheme="minorEastAsia" w:eastAsiaTheme="minorEastAsia" w:hAnsiTheme="minorEastAsia"/>
        </w:rPr>
      </w:pPr>
    </w:p>
    <w:sectPr>
      <w:headerReference w:type="default" r:id="rId6"/>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14030B">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064EC"/>
    <w:rsid w:val="00017702"/>
    <w:rsid w:val="000F2819"/>
    <w:rsid w:val="00120305"/>
    <w:rsid w:val="00134D0D"/>
    <w:rsid w:val="0014030B"/>
    <w:rsid w:val="001757E3"/>
    <w:rsid w:val="0018698C"/>
    <w:rsid w:val="00193057"/>
    <w:rsid w:val="001F0D85"/>
    <w:rsid w:val="001F6316"/>
    <w:rsid w:val="00205A23"/>
    <w:rsid w:val="002511E7"/>
    <w:rsid w:val="00260BF6"/>
    <w:rsid w:val="002F014C"/>
    <w:rsid w:val="003D3797"/>
    <w:rsid w:val="004458C8"/>
    <w:rsid w:val="00461C5A"/>
    <w:rsid w:val="00475B00"/>
    <w:rsid w:val="005A6D80"/>
    <w:rsid w:val="005F727E"/>
    <w:rsid w:val="006C1F4E"/>
    <w:rsid w:val="006E38F7"/>
    <w:rsid w:val="00701460"/>
    <w:rsid w:val="00761119"/>
    <w:rsid w:val="007D72E4"/>
    <w:rsid w:val="00815E4F"/>
    <w:rsid w:val="0082523D"/>
    <w:rsid w:val="008444DB"/>
    <w:rsid w:val="00886687"/>
    <w:rsid w:val="00990402"/>
    <w:rsid w:val="009F3208"/>
    <w:rsid w:val="00AA1E04"/>
    <w:rsid w:val="00AB1208"/>
    <w:rsid w:val="00B43FDA"/>
    <w:rsid w:val="00BC29D8"/>
    <w:rsid w:val="00C30F1B"/>
    <w:rsid w:val="00CA2B83"/>
    <w:rsid w:val="00CE5B30"/>
    <w:rsid w:val="00D80E27"/>
    <w:rsid w:val="00EE58CB"/>
    <w:rsid w:val="00FB089E"/>
    <w:rsid w:val="0281406F"/>
    <w:rsid w:val="04F90740"/>
    <w:rsid w:val="0B4F5179"/>
    <w:rsid w:val="0D276FB6"/>
    <w:rsid w:val="0F081F97"/>
    <w:rsid w:val="0F1B1610"/>
    <w:rsid w:val="0F467395"/>
    <w:rsid w:val="11B304D2"/>
    <w:rsid w:val="134F425C"/>
    <w:rsid w:val="18306633"/>
    <w:rsid w:val="19015A62"/>
    <w:rsid w:val="1EBA48BA"/>
    <w:rsid w:val="1F1B4E17"/>
    <w:rsid w:val="2406178F"/>
    <w:rsid w:val="2C6C7276"/>
    <w:rsid w:val="2CA7307C"/>
    <w:rsid w:val="30B35F02"/>
    <w:rsid w:val="35CE5CC4"/>
    <w:rsid w:val="39656063"/>
    <w:rsid w:val="3DA52D7D"/>
    <w:rsid w:val="41377245"/>
    <w:rsid w:val="41DC4D17"/>
    <w:rsid w:val="47DE7A2F"/>
    <w:rsid w:val="48D23207"/>
    <w:rsid w:val="4D1E00DE"/>
    <w:rsid w:val="4DEBD764"/>
    <w:rsid w:val="4FB86BC8"/>
    <w:rsid w:val="50895907"/>
    <w:rsid w:val="510B520C"/>
    <w:rsid w:val="51D66B08"/>
    <w:rsid w:val="52C05AE2"/>
    <w:rsid w:val="53197A4B"/>
    <w:rsid w:val="59093C68"/>
    <w:rsid w:val="5A5A130E"/>
    <w:rsid w:val="5C722391"/>
    <w:rsid w:val="6087643C"/>
    <w:rsid w:val="6283238F"/>
    <w:rsid w:val="66953356"/>
    <w:rsid w:val="67272BEB"/>
    <w:rsid w:val="694E5BC9"/>
    <w:rsid w:val="6B9A0CA2"/>
    <w:rsid w:val="6BB637C3"/>
    <w:rsid w:val="6BD40231"/>
    <w:rsid w:val="70496C0D"/>
    <w:rsid w:val="71A85C11"/>
    <w:rsid w:val="7A9E1EC8"/>
    <w:rsid w:val="7ED25C5F"/>
    <w:rsid w:val="7EE22D8E"/>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107908E1-047F-426B-A32C-CD733074D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header" Target="header1.xml" /><Relationship Id="rId7" Type="http://schemas.openxmlformats.org/officeDocument/2006/relationships/theme" Target="theme/theme1.xml" /><Relationship Id="rId8"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BA9FA1C-98C0-4AF1-96D4-0111AB001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421</Words>
  <Characters>2403</Characters>
  <Application>Microsoft Office Word</Application>
  <DocSecurity>0</DocSecurity>
  <Lines>20</Lines>
  <Paragraphs>5</Paragraphs>
  <ScaleCrop>false</ScaleCrop>
  <Company/>
  <LinksUpToDate>false</LinksUpToDate>
  <CharactersWithSpaces>2819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29</cp:revision>
  <dcterms:created xsi:type="dcterms:W3CDTF">2023-04-14T06:44:00Z</dcterms:created>
  <dcterms:modified xsi:type="dcterms:W3CDTF">2025-07-30T09:43:00Z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