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杭银理财幸福99添益（稳盈）35天周期型理财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杭银理财幸福99添益（稳盈）35天周期型理财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TYG35D2301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Z7002223000094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2023年5月5日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2,032,624,692.66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一级（低）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2,032,624,692.66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1,914,055,805.98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1.061946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1.061946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添益（稳盈）35天周期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TYG35D2301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1.062698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1.062698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1,531,002,365.04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添益（稳盈）35天B</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TYG35D2301B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1.061713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1.061713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23,925,266.43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添益35天周期C款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TYG35D2301C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1.059556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1.059556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477,697,061.19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添益（稳盈）35天周期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添益（稳盈）35天B</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添益35天周期C款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2.47</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w:t>
        <w:cr/>
        <w:t>相对而言，同业存单受益于资金宽松，受到市场波动影响不大，多数时间维持窄幅震荡。</w:t>
        <w:cr/>
        <w:t>三季度货币政策宽松基调延续，央行中长期流动性前置加量，虽资金利率时点性抬升，资金面整体仍维持平稳宽松局面，在面临缴税和政府债净缴款、同业存单集中到期，对资金面形成一定扰动期间，央行呵护态度坚定，买断式逆回购操作前移，稳定市场预期，逆回购持续加码，维户资金面相对稳定。</w:t>
        <w:cr/>
        <w:t>从收益率来看，截至9月30日， 1年期商业银行同业存单收益率1.6650%，较6月末上行3.76bp。本产品主要配置固收类资产，以同业存款和同业存单为主，久期较短，在收益率上行行情下波动较小，相对于持续下跌的债券市场，产品净值整体保持了相对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资金面大幅收紧，收益率持续大幅上行的概率较小。目前中长久期品种收益率普遍已达高位，前期的各种政策影响已经被充分定价，央行将继续实施适度宽松的货币政策。下一步债市的方向可能围绕央行买债、债基赎回费率调整、机构行为等因素展开博弈。此外，四季度在税期、跨月以及MLF到期等时间点，还需注意资金面不确定性。总体上来说，预期四季度资金面持续稳定，债券收益率维持震荡态势，同业存单收益率大幅上行概率不大。策略上，产品投资将继续以同业存款和同业存单为主，把握好时点配置同业存款、同业存单的机会，维持较短的产品久期，做好回撤控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20.17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74.10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9.81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79.83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浙商银行股份有限公司 1.85 2025/02/12 4095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200,071,944.46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9.84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江苏银行股份有限公司 1.71 2025/06/10 4177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100,536,750.00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他行存款(316002-000337)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63,164,861.90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他行存款(809001-000339)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58,743,464.92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55,209,094.56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47,641,260.36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他行存款(516001-000109)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43,058,339.51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他行存款(629001-000070)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40,024,503.56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他行存款(316002-000144)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38,456,265.28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他行存款(809001-000341)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33,376,968.71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2,013,444,234.63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1,914,055,805.98</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杭银理财幸福99添益(稳盈)35天周期型理财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3301040160015309811-382301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